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绿化工作资料</w:t>
      </w:r>
    </w:p>
    <w:p>
      <w:pPr>
        <w:ind w:firstLine="560"/>
        <w:rPr>
          <w:rFonts w:ascii="宋体" w:hAnsi="宋体" w:eastAsia="宋体" w:cs="宋体" w:hint="eastAsia"/>
          <w:sz w:val="28"/>
          <w:szCs w:val="28"/>
        </w:rPr>
      </w:pPr>
      <w:r>
        <w:rPr>
          <w:sz w:val="28"/>
          <w:szCs w:val="28"/>
        </w:rPr>
        <w:t>建桥位于上海市浦东新区临港新城，学校总占地面积为53.26公顷（800亩），绿化景观总面积18.64公顷（186000</w:t>
      </w:r>
      <w:r>
        <w:rPr>
          <w:rFonts w:ascii="Arial" w:hAnsi="Arial" w:cs="Arial"/>
          <w:sz w:val="28"/>
          <w:szCs w:val="28"/>
        </w:rPr>
        <w:t>㎡</w:t>
      </w:r>
      <w:r>
        <w:rPr>
          <w:rFonts w:ascii="Arial" w:hAnsi="Arial" w:cs="Arial" w:hint="eastAsia"/>
          <w:sz w:val="28"/>
          <w:szCs w:val="28"/>
        </w:rPr>
        <w:t>）。在景观表现形式上。加强各个区域使用功能及观赏效果，重点突出两个景观轴线及核心区域，以简欧风格为主，并延续“建桥红”风格，与建筑形成和谐的校园景观，在景观上重点突出“桥”文化、棋类特色及“八字校训”，并</w:t>
      </w:r>
      <w:r>
        <w:rPr>
          <w:rFonts w:ascii="宋体" w:hAnsi="宋体" w:eastAsia="宋体" w:cs="宋体" w:hint="eastAsia"/>
          <w:sz w:val="28"/>
          <w:szCs w:val="28"/>
        </w:rPr>
        <w:t>参照上海市花园单位标准设计，尽量利用现有苗木，打造具有建桥底蕴的园林景观，使之成为“百年名校”的景观年轮。</w:t>
      </w:r>
      <w:r>
        <w:rPr>
          <w:rFonts w:ascii="宋体" w:hAnsi="宋体" w:eastAsia="宋体" w:cs="宋体" w:hint="eastAsia"/>
          <w:sz w:val="28"/>
          <w:szCs w:val="28"/>
        </w:rPr>
      </w:r>
    </w:p>
    <w:p>
      <w:pPr>
        <w:ind w:firstLine="560"/>
        <w:rPr>
          <w:rFonts w:ascii="宋体" w:hAnsi="宋体" w:eastAsia="宋体" w:cs="宋体" w:hint="eastAsia"/>
          <w:sz w:val="28"/>
          <w:szCs w:val="28"/>
        </w:rPr>
      </w:pPr>
      <w:r>
        <w:rPr>
          <w:rFonts w:ascii="宋体" w:hAnsi="宋体" w:eastAsia="宋体" w:cs="宋体" w:hint="eastAsia"/>
          <w:sz w:val="28"/>
          <w:szCs w:val="28"/>
        </w:rPr>
        <w:t>建桥学院地块所在土壤ph 值8.2以上，属碱性土壤，所以本次绿化种植除采取各项措施外，主要是因地制宜，选择适宜种植的本土树木及耐盐碱植物。其次是绿化设计融入英式设计理念，与建桥背景相呼应。本次绿化景观工程搬迁并种植康桥老校区树木13500多棵、新增苗木种植7000多棵。</w:t>
      </w:r>
    </w:p>
    <w:p>
      <w:pPr>
        <w:ind w:firstLine="560"/>
        <w:rPr>
          <w:rFonts w:ascii="宋体" w:hAnsi="宋体" w:eastAsia="宋体" w:cs="宋体" w:hint="eastAsia"/>
          <w:sz w:val="28"/>
          <w:szCs w:val="28"/>
        </w:rPr>
      </w:pPr>
      <w:r>
        <w:rPr>
          <w:rFonts w:ascii="宋体" w:hAnsi="宋体" w:eastAsia="宋体" w:cs="宋体" w:hint="eastAsia"/>
          <w:sz w:val="28"/>
          <w:szCs w:val="28"/>
        </w:rPr>
        <w:t>主要做法：</w:t>
      </w:r>
    </w:p>
    <w:p>
      <w:pPr>
        <w:numPr>
          <w:ilvl w:val="0"/>
          <w:numId w:val="1"/>
        </w:numPr>
        <w:ind w:left="0" w:firstLine="560"/>
        <w:rPr>
          <w:rFonts w:ascii="宋体" w:hAnsi="宋体" w:eastAsia="宋体" w:cs="宋体" w:hint="eastAsia"/>
          <w:sz w:val="28"/>
          <w:szCs w:val="28"/>
        </w:rPr>
      </w:pPr>
      <w:r>
        <w:rPr>
          <w:rFonts w:ascii="宋体" w:hAnsi="宋体" w:eastAsia="宋体" w:cs="宋体" w:hint="eastAsia"/>
          <w:sz w:val="28"/>
          <w:szCs w:val="28"/>
        </w:rPr>
        <w:t>出入口区简洁大气：校训石配置白玉兰，寓意十年树木、百年树人，白玉兰的树语为报恩，寓意学子要有爱心承担责任，以感恩回报社会，呼应感恩回报爱心责任，给校园主入口带来强大正能量</w:t>
      </w:r>
    </w:p>
    <w:p>
      <w:pPr>
        <w:numPr>
          <w:ilvl w:val="0"/>
          <w:numId w:val="1"/>
        </w:numPr>
        <w:ind w:left="0" w:firstLine="560"/>
        <w:rPr>
          <w:rFonts w:ascii="宋体" w:hAnsi="宋体" w:eastAsia="宋体" w:cs="宋体" w:hint="eastAsia"/>
          <w:sz w:val="28"/>
          <w:szCs w:val="28"/>
        </w:rPr>
      </w:pPr>
      <w:r>
        <w:rPr>
          <w:rFonts w:ascii="宋体" w:hAnsi="宋体" w:eastAsia="宋体" w:cs="宋体" w:hint="eastAsia"/>
          <w:sz w:val="28"/>
          <w:szCs w:val="28"/>
        </w:rPr>
        <w:t>形象入口强调特色：尖塔性的雪松与树阵相结合，具有浓浓的英式气息，以高大香樟和桂花作为景树，与整形绿篱和自然式花卉搭配，形成一个多姿多彩的环境，希望学子们能在安心学习。另外端点配置黄色栾树，繁花开尽又开繁花，一副欣欣向荣的场景，寓意士子如林。</w:t>
      </w:r>
    </w:p>
    <w:p>
      <w:pPr>
        <w:numPr>
          <w:ilvl w:val="0"/>
          <w:numId w:val="1"/>
        </w:numPr>
        <w:ind w:left="0" w:firstLine="560"/>
        <w:rPr>
          <w:rFonts w:ascii="宋体" w:hAnsi="宋体" w:eastAsia="宋体" w:cs="宋体" w:hint="eastAsia"/>
          <w:sz w:val="28"/>
          <w:szCs w:val="28"/>
        </w:rPr>
      </w:pPr>
      <w:r>
        <w:rPr>
          <w:rFonts w:ascii="宋体" w:hAnsi="宋体" w:eastAsia="宋体" w:cs="宋体" w:hint="eastAsia"/>
          <w:sz w:val="28"/>
          <w:szCs w:val="28"/>
        </w:rPr>
        <w:t>教学大楼区干净通透：乔木形成框景，与草地、汀步结合，可相聚在草地上享受阳光，或围坐交谈。不同的乔木色叶搭配不同的色块地被，也可将不同的教学大楼分开，增强大楼间的辨识度。</w:t>
      </w:r>
    </w:p>
    <w:p>
      <w:pPr>
        <w:numPr>
          <w:ilvl w:val="0"/>
          <w:numId w:val="1"/>
        </w:numPr>
        <w:ind w:left="0" w:firstLine="560"/>
        <w:rPr>
          <w:rFonts w:ascii="宋体" w:hAnsi="宋体" w:eastAsia="宋体" w:cs="宋体" w:hint="eastAsia"/>
          <w:sz w:val="28"/>
          <w:szCs w:val="28"/>
        </w:rPr>
      </w:pPr>
      <w:r>
        <w:rPr>
          <w:rFonts w:ascii="宋体" w:hAnsi="宋体" w:eastAsia="宋体" w:cs="宋体" w:hint="eastAsia"/>
          <w:sz w:val="28"/>
          <w:szCs w:val="28"/>
        </w:rPr>
        <w:t>在集中绿地或运动场边设置树桩等景观模型，来引导学生环保、节俭等道德素质。</w:t>
      </w:r>
    </w:p>
    <w:p>
      <w:pPr>
        <w:numPr>
          <w:ilvl w:val="0"/>
          <w:numId w:val="0"/>
        </w:numPr>
        <w:ind w:firstLine="560"/>
        <w:rPr>
          <w:rFonts w:ascii="宋体" w:hAnsi="宋体" w:eastAsia="宋体" w:cs="宋体" w:hint="eastAsia"/>
          <w:sz w:val="28"/>
          <w:szCs w:val="28"/>
        </w:rPr>
      </w:pPr>
      <w:r>
        <w:rPr>
          <w:rFonts w:ascii="宋体" w:hAnsi="宋体" w:eastAsia="宋体" w:cs="宋体" w:hint="eastAsia"/>
          <w:sz w:val="28"/>
          <w:szCs w:val="28"/>
        </w:rPr>
        <w:t>另外还有铺装广场、欧式水景、林下园路、欧式花坛、阳光草坡、阳光草坪、生态固土护岸技术、生态停车场（采用混凝土植草砖）、等。</w:t>
      </w:r>
    </w:p>
    <w:p>
      <w:pPr>
        <w:numPr>
          <w:ilvl w:val="0"/>
          <w:numId w:val="0"/>
        </w:numPr>
        <w:ind w:firstLine="560"/>
        <w:rPr>
          <w:rFonts w:ascii="宋体" w:hAnsi="宋体" w:eastAsia="宋体" w:cs="宋体" w:hint="eastAsia"/>
          <w:sz w:val="28"/>
          <w:szCs w:val="28"/>
        </w:rPr>
      </w:pPr>
      <w:r>
        <w:rPr>
          <w:rFonts w:ascii="宋体" w:hAnsi="宋体" w:eastAsia="宋体" w:cs="宋体" w:hint="eastAsia"/>
          <w:sz w:val="28"/>
          <w:szCs w:val="28"/>
        </w:rPr>
        <w:t>盐碱土改良技术:采用地下增设排盐碱管；排灌结合、以水治碱；增施有机肥，增加土壤有机质；生物措施等。</w:t>
      </w:r>
    </w:p>
    <w:p>
      <w:pPr>
        <w:numPr>
          <w:ilvl w:val="0"/>
          <w:numId w:val="0"/>
        </w:numPr>
        <w:ind w:firstLine="560"/>
        <w:rPr>
          <w:rFonts w:ascii="宋体" w:hAnsi="宋体" w:eastAsia="宋体" w:cs="宋体" w:hint="eastAsia"/>
          <w:sz w:val="28"/>
          <w:szCs w:val="28"/>
        </w:rPr>
      </w:pPr>
      <w:r>
        <w:rPr>
          <w:rFonts w:ascii="宋体" w:hAnsi="宋体" w:eastAsia="宋体" w:cs="宋体" w:hint="eastAsia"/>
          <w:sz w:val="28"/>
          <w:szCs w:val="28"/>
        </w:rPr>
        <w:t>另外还做好：1、康桥校区苗木编号、标记；2、绿化景观施工周报；3、绿化景观工程实时情况每月一报；4、晴雨表记录；5、施工日志台账；6、人工、机械每日记录；7、绿化施工计划；8、苗木进场清单；9、工程进度分析；10、养护手册；11、养护计划；12、防汛防台预案；13、安全措施；14、种植苗木每日</w:t>
      </w:r>
      <w:r/>
      <w:bookmarkStart w:id="0" w:name="_GoBack"/>
      <w:bookmarkEnd w:id="0"/>
      <w:r/>
      <w:r>
        <w:rPr>
          <w:rFonts w:ascii="宋体" w:hAnsi="宋体" w:eastAsia="宋体" w:cs="宋体" w:hint="eastAsia"/>
          <w:sz w:val="28"/>
          <w:szCs w:val="28"/>
        </w:rPr>
        <w:t>观察记录等等。</w:t>
      </w:r>
      <w:r>
        <w:rPr>
          <w:rFonts w:ascii="宋体" w:hAnsi="宋体" w:eastAsia="宋体" w:cs="宋体" w:hint="eastAsia"/>
          <w:sz w:val="28"/>
          <w:szCs w:val="28"/>
        </w:rPr>
      </w:r>
    </w:p>
    <w:p>
      <w:pPr>
        <w:rPr>
          <w:rFonts w:ascii="宋体" w:hAnsi="宋体" w:eastAsia="宋体" w:cs="宋体" w:hint="eastAsia"/>
          <w:sz w:val="28"/>
          <w:szCs w:val="28"/>
        </w:rPr>
      </w:pPr>
      <w:r>
        <w:rPr>
          <w:rFonts w:ascii="宋体" w:hAnsi="宋体" w:eastAsia="宋体" w:cs="宋体" w:hint="eastAsia"/>
          <w:sz w:val="28"/>
          <w:szCs w:val="28"/>
        </w:rPr>
        <w:t xml:space="preserve">    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800" w:top="1440" w:right="1800" w:bottom="1440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1"/>
    <w:family w:val="modern"/>
    <w:pitch w:val="default"/>
  </w:font>
  <w:font w:name="宋体">
    <w:panose1 w:val="02010600030101010101"/>
    <w:charset w:val="86"/>
    <w:family w:val="auto"/>
    <w:pitch w:val="default"/>
  </w:font>
  <w:font w:name="Wingdings">
    <w:panose1 w:val="05000000000000000000"/>
    <w:charset w:val="02"/>
    <w:family w:val="auto"/>
    <w:pitch w:val="default"/>
  </w:font>
  <w:font w:name="黑体">
    <w:panose1 w:val="02010609060101010101"/>
    <w:charset w:val="86"/>
    <w:family w:val="auto"/>
    <w:pitch w:val="default"/>
  </w:font>
  <w:font w:name="Courier New">
    <w:panose1 w:val="02070309020205020404"/>
    <w:charset w:val="01"/>
    <w:family w:val="roman"/>
    <w:pitch w:val="default"/>
  </w:font>
  <w:font w:name="Symbol">
    <w:panose1 w:val="05050102010706020507"/>
    <w:charset w:val="02"/>
    <w:family w:val="decorative"/>
    <w:pitch w:val="default"/>
  </w:font>
  <w:font w:name="Cambria">
    <w:panose1 w:val="02040503050406030204"/>
    <w:charset w:val="00"/>
    <w:family w:val="roman"/>
    <w:pitch w:val="default"/>
  </w:font>
  <w:font w:name="Calibri">
    <w:panose1 w:val="020F0502020204030204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singleLevel"/>
    <w:name w:val="编号列表 1"/>
    <w:lvl w:ilvl="0">
      <w:start w:val="1"/>
      <w:numFmt w:val="chineseCounting"/>
      <w:suff w:val="nothing"/>
      <w:lvlText w:val="%1、"/>
      <w:lvlJc w:val="left"/>
      <w:pPr>
        <w:ind w:left="0" w:hanging="0"/>
      </w:pPr>
      <w:rPr/>
    </w:lvl>
  </w:abstractNum>
  <w:abstractNum w:abstractNumId="2">
    <w:multiLevelType w:val="singleLevel"/>
    <w:name w:val="Bullet 2"/>
    <w:lvl w:ilvl="0">
      <w:start w:val="1"/>
      <w:numFmt w:val="chineseCounting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420"/>
  <w:autoHyphenation w:val="0"/>
  <w:doNotShadeFormData w:val="0"/>
  <w:captions>
    <w:caption w:name="表格" w:pos="below" w:numFmt="decimal"/>
    <w:caption w:name="图解" w:pos="below" w:numFmt="decimal"/>
    <w:caption w:name="图片" w:pos="below" w:numFmt="decimal"/>
  </w:captions>
  <w:drawingGridHorizontalSpacing w:val="18546688"/>
  <w:drawingGridVerticalSpacing w:val="156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609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2"/>
    </w:tmLastPosCaret>
    <w:tmLastPosAnchor>
      <w:tmLastPosPgfIdx w:val="0"/>
      <w:tmLastPosIdx w:val="0"/>
    </w:tmLastPosAnchor>
    <w:tmLastPosTblRect w:left="0" w:top="0" w:right="0" w:bottom="0"/>
    <w:tmAppRevision w:date="1450850339" w:val="694"/>
  </w:tmLastPo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kern w:val="1"/>
        <w:sz w:val="21"/>
        <w:szCs w:val="24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character" w:styleId="" w:default="1">
    <w:name w:val="Default Paragraph Font"/>
    <w:rPr>
      <w:kern w:val="0"/>
      <w:sz w:val="20"/>
      <w:szCs w:val="20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kern w:val="1"/>
        <w:sz w:val="21"/>
        <w:szCs w:val="24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character" w:styleId="" w:default="1">
    <w:name w:val="Default Paragraph Font"/>
    <w:rPr>
      <w:kern w:val="0"/>
      <w:sz w:val="20"/>
      <w:szCs w:val="20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/>
  <cp:revision>1</cp:revision>
  <dcterms:created xsi:type="dcterms:W3CDTF">2015-12-23T03:00:00Z</dcterms:created>
  <dcterms:modified xsi:type="dcterms:W3CDTF">2015-12-23T13:58:59Z</dcterms:modified>
</cp:coreProperties>
</file>