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sz w:val="36"/>
          <w:szCs w:val="36"/>
        </w:rPr>
      </w:pPr>
      <w:bookmarkStart w:id="0" w:name="_GoBack"/>
      <w:bookmarkEnd w:id="0"/>
      <w:r>
        <w:rPr>
          <w:rFonts w:hint="eastAsia" w:ascii="华文中宋" w:hAnsi="华文中宋" w:eastAsia="华文中宋"/>
          <w:sz w:val="36"/>
          <w:szCs w:val="36"/>
        </w:rPr>
        <w:t>上海建桥学院</w:t>
      </w:r>
    </w:p>
    <w:p>
      <w:pPr>
        <w:spacing w:line="360" w:lineRule="auto"/>
        <w:jc w:val="center"/>
        <w:rPr>
          <w:rFonts w:ascii="华文中宋" w:hAnsi="华文中宋" w:eastAsia="华文中宋"/>
          <w:sz w:val="36"/>
          <w:szCs w:val="36"/>
        </w:rPr>
      </w:pPr>
      <w:r>
        <w:rPr>
          <w:rFonts w:hint="eastAsia" w:ascii="华文中宋" w:hAnsi="华文中宋" w:eastAsia="华文中宋"/>
          <w:sz w:val="36"/>
          <w:szCs w:val="36"/>
        </w:rPr>
        <w:t>2016-2020专业学位研究生教育发展规划</w:t>
      </w:r>
    </w:p>
    <w:p>
      <w:pPr>
        <w:spacing w:line="360" w:lineRule="auto"/>
        <w:jc w:val="center"/>
        <w:rPr>
          <w:rFonts w:ascii="黑体" w:eastAsia="黑体"/>
          <w:sz w:val="24"/>
        </w:rPr>
      </w:pP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一、“十二五”期间学校发展概况</w:t>
      </w:r>
    </w:p>
    <w:p>
      <w:pPr>
        <w:pStyle w:val="16"/>
        <w:shd w:val="clear" w:color="auto" w:fill="FFFFFF"/>
        <w:spacing w:before="0" w:beforeAutospacing="0" w:after="0" w:afterAutospacing="0" w:line="360" w:lineRule="auto"/>
        <w:ind w:firstLine="480"/>
        <w:rPr>
          <w:rFonts w:ascii="仿宋" w:hAnsi="仿宋" w:eastAsia="仿宋"/>
          <w:sz w:val="28"/>
          <w:szCs w:val="28"/>
        </w:rPr>
      </w:pPr>
      <w:r>
        <w:rPr>
          <w:rFonts w:hint="eastAsia" w:ascii="仿宋" w:hAnsi="仿宋" w:eastAsia="仿宋"/>
          <w:sz w:val="28"/>
          <w:szCs w:val="28"/>
        </w:rPr>
        <w:t>上海建桥学院创办于2000年，经教育部批准于2005年升格为本科院校，2010年成为学士学位授予单位，2013年通过教育部本科合格评估，是一所紧密结合上海地方经济社会发展需要，培养生产、服务和管理第一线的应用型人才的民办本科院校。学校以“感恩，回报，爱心，责任”为校训，以“以人为本，德育为先，依法治校，严格管理”为办学方针，以“民营模式、公益性质、人本观念、文化管理”为办学理念，以“为学生建成才之桥，为教师建立业之桥，为社会建育人之桥”为办学宗旨，自创办以来，累计向社会输送13届近3.5万名合格毕业生。</w:t>
      </w:r>
    </w:p>
    <w:p>
      <w:pPr>
        <w:pStyle w:val="16"/>
        <w:shd w:val="clear" w:color="auto" w:fill="FFFFFF"/>
        <w:spacing w:before="0" w:beforeAutospacing="0" w:after="0" w:afterAutospacing="0" w:line="360" w:lineRule="auto"/>
        <w:ind w:firstLine="480"/>
        <w:rPr>
          <w:rFonts w:ascii="仿宋" w:hAnsi="仿宋" w:eastAsia="仿宋"/>
          <w:sz w:val="28"/>
          <w:szCs w:val="28"/>
        </w:rPr>
      </w:pPr>
      <w:r>
        <w:rPr>
          <w:rFonts w:hint="eastAsia" w:ascii="仿宋" w:hAnsi="仿宋" w:eastAsia="仿宋"/>
          <w:sz w:val="28"/>
          <w:szCs w:val="28"/>
        </w:rPr>
        <w:t>“十二五”期间（2011-2015），是学校建设和发展取得重要成绩的五年，占地面积800亩、一期投资26亿元、建筑面积近38万平方米的临港新校区建成并投入使用，学校顺利通过教育部本科合格评估，获得全国文明单位殊荣，先后加入全国应用技术大学（学院）联盟、全国非营利性民办高校联盟，办学规模稳步扩大，办学质量不断提升，师资队伍不断优化，对外合作发展迅速，治理体系不断完善，社会影响力进一步扩大，成为一所全国知名的民办本科院校，为开展专业学位研究生教育打下了坚实的基础。</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（一）学科建设成效显著</w:t>
      </w:r>
    </w:p>
    <w:p>
      <w:pPr>
        <w:spacing w:line="360" w:lineRule="auto"/>
        <w:rPr>
          <w:rFonts w:ascii="仿宋" w:hAnsi="仿宋" w:eastAsia="仿宋"/>
          <w:sz w:val="28"/>
          <w:szCs w:val="28"/>
        </w:rPr>
      </w:pPr>
      <w:r>
        <w:rPr>
          <w:rFonts w:hint="eastAsia" w:ascii="仿宋" w:hAnsi="仿宋" w:eastAsia="仿宋"/>
          <w:sz w:val="28"/>
          <w:szCs w:val="28"/>
        </w:rPr>
        <w:t xml:space="preserve">    自2005年升本以来，学校共设置了28个本科专业，涵盖管理学、经济学、工学、艺术学和文学五大学科门类，并成立了专门的学科建设管理部门，进一步突出学科建设的龙头地位。“十二五”期间，学校立项科研项目330个（不含教改项目）；获得科研经费1036万元，其中纵向项目315项，经费951万元；发表论文771篇，其中发表在核心期刊上的有227篇，SCI、EI、ISTP收录的论文120篇，发表学术专著7部。学校成立了校学术委员会，出台了《上海建桥学院学科建设管理办法》，设立了学科建设专项经费。学校于2011年启动并确定了“工商管理、计算机科学与技术、新闻传播学”等首批三个校级重点建设学科；2012年又增立了“电子科学与技术、应用经济学”等第二批两个校级重点建设学科，学科建设成效显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（二）“双师型”师资队伍日益壮大</w:t>
      </w:r>
    </w:p>
    <w:p>
      <w:pPr>
        <w:spacing w:line="360" w:lineRule="auto"/>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学校师资队伍数量不断扩大，结构日趋合理，基本形成了专兼职相结合、以专职教师为主的师资队伍。学校现有专任教师</w:t>
      </w:r>
      <w:r>
        <w:rPr>
          <w:rFonts w:hint="eastAsia" w:ascii="仿宋" w:hAnsi="仿宋" w:eastAsia="仿宋"/>
          <w:sz w:val="28"/>
          <w:szCs w:val="28"/>
        </w:rPr>
        <w:t>620</w:t>
      </w:r>
      <w:r>
        <w:rPr>
          <w:rFonts w:ascii="仿宋" w:hAnsi="仿宋" w:eastAsia="仿宋"/>
          <w:sz w:val="28"/>
          <w:szCs w:val="28"/>
        </w:rPr>
        <w:t>人。专任教师中博士</w:t>
      </w:r>
      <w:r>
        <w:rPr>
          <w:rFonts w:hint="eastAsia" w:ascii="仿宋" w:hAnsi="仿宋" w:eastAsia="仿宋"/>
          <w:sz w:val="28"/>
          <w:szCs w:val="28"/>
        </w:rPr>
        <w:t>62</w:t>
      </w:r>
      <w:r>
        <w:rPr>
          <w:rFonts w:ascii="仿宋" w:hAnsi="仿宋" w:eastAsia="仿宋"/>
          <w:sz w:val="28"/>
          <w:szCs w:val="28"/>
        </w:rPr>
        <w:t>人，占比</w:t>
      </w:r>
      <w:r>
        <w:rPr>
          <w:rFonts w:hint="eastAsia" w:ascii="仿宋" w:hAnsi="仿宋" w:eastAsia="仿宋"/>
          <w:sz w:val="28"/>
          <w:szCs w:val="28"/>
        </w:rPr>
        <w:t>10</w:t>
      </w:r>
      <w:r>
        <w:rPr>
          <w:rFonts w:ascii="仿宋" w:hAnsi="仿宋" w:eastAsia="仿宋"/>
          <w:sz w:val="28"/>
          <w:szCs w:val="28"/>
        </w:rPr>
        <w:t>%，硕士</w:t>
      </w:r>
      <w:r>
        <w:rPr>
          <w:rFonts w:hint="eastAsia" w:ascii="仿宋" w:hAnsi="仿宋" w:eastAsia="仿宋"/>
          <w:sz w:val="28"/>
          <w:szCs w:val="28"/>
        </w:rPr>
        <w:t>376</w:t>
      </w:r>
      <w:r>
        <w:rPr>
          <w:rFonts w:ascii="仿宋" w:hAnsi="仿宋" w:eastAsia="仿宋"/>
          <w:sz w:val="28"/>
          <w:szCs w:val="28"/>
        </w:rPr>
        <w:t>人，占比</w:t>
      </w:r>
      <w:r>
        <w:rPr>
          <w:rFonts w:hint="eastAsia" w:ascii="仿宋" w:hAnsi="仿宋" w:eastAsia="仿宋"/>
          <w:sz w:val="28"/>
          <w:szCs w:val="28"/>
        </w:rPr>
        <w:t>61</w:t>
      </w:r>
      <w:r>
        <w:rPr>
          <w:rFonts w:ascii="仿宋" w:hAnsi="仿宋" w:eastAsia="仿宋"/>
          <w:sz w:val="28"/>
          <w:szCs w:val="28"/>
        </w:rPr>
        <w:t>%，副高以上职称教师2</w:t>
      </w:r>
      <w:r>
        <w:rPr>
          <w:rFonts w:hint="eastAsia" w:ascii="仿宋" w:hAnsi="仿宋" w:eastAsia="仿宋"/>
          <w:sz w:val="28"/>
          <w:szCs w:val="28"/>
        </w:rPr>
        <w:t>23</w:t>
      </w:r>
      <w:r>
        <w:rPr>
          <w:rFonts w:ascii="仿宋" w:hAnsi="仿宋" w:eastAsia="仿宋"/>
          <w:sz w:val="28"/>
          <w:szCs w:val="28"/>
        </w:rPr>
        <w:t>人，占比</w:t>
      </w:r>
      <w:r>
        <w:rPr>
          <w:rFonts w:hint="eastAsia" w:ascii="仿宋" w:hAnsi="仿宋" w:eastAsia="仿宋"/>
          <w:sz w:val="28"/>
          <w:szCs w:val="28"/>
        </w:rPr>
        <w:t>36</w:t>
      </w:r>
      <w:r>
        <w:rPr>
          <w:rFonts w:ascii="仿宋" w:hAnsi="仿宋" w:eastAsia="仿宋"/>
          <w:sz w:val="28"/>
          <w:szCs w:val="28"/>
        </w:rPr>
        <w:t>%。教师队伍中，全国优秀教师、全国高校优秀辅导员1人，获享国务院政府特殊津贴9人，获“宝钢教育基金”优秀教师奖2人，上海市模范教师1人，上海市优秀青年教师3人，上海市育才奖13人，上海市“晨光计划”9人，海外名师项目2人。五年来，有4位教师被聘为正教授，39位教师被聘为副教授。学校</w:t>
      </w:r>
      <w:r>
        <w:rPr>
          <w:rFonts w:hint="eastAsia" w:ascii="仿宋" w:hAnsi="仿宋" w:eastAsia="仿宋"/>
          <w:sz w:val="28"/>
          <w:szCs w:val="28"/>
        </w:rPr>
        <w:t>着力建设一支具有较强专业教育实践能力、应用能力和创新能力的教师队伍，</w:t>
      </w:r>
      <w:r>
        <w:rPr>
          <w:rFonts w:ascii="仿宋" w:hAnsi="仿宋" w:eastAsia="仿宋"/>
          <w:sz w:val="28"/>
          <w:szCs w:val="28"/>
        </w:rPr>
        <w:t>不断加</w:t>
      </w:r>
      <w:r>
        <w:rPr>
          <w:rFonts w:hint="eastAsia" w:ascii="仿宋" w:hAnsi="仿宋" w:eastAsia="仿宋"/>
          <w:sz w:val="28"/>
          <w:szCs w:val="28"/>
        </w:rPr>
        <w:t>大</w:t>
      </w:r>
      <w:r>
        <w:rPr>
          <w:rFonts w:ascii="仿宋" w:hAnsi="仿宋" w:eastAsia="仿宋"/>
          <w:sz w:val="28"/>
          <w:szCs w:val="28"/>
        </w:rPr>
        <w:t>对中青年教师的培养</w:t>
      </w:r>
      <w:r>
        <w:rPr>
          <w:rFonts w:hint="eastAsia" w:ascii="仿宋" w:hAnsi="仿宋" w:eastAsia="仿宋"/>
          <w:sz w:val="28"/>
          <w:szCs w:val="28"/>
        </w:rPr>
        <w:t>力度。</w:t>
      </w:r>
      <w:r>
        <w:rPr>
          <w:rFonts w:ascii="仿宋" w:hAnsi="仿宋" w:eastAsia="仿宋"/>
          <w:sz w:val="28"/>
          <w:szCs w:val="28"/>
        </w:rPr>
        <w:t>有120位攻读学历学位，44位国外访学进修，23位国内访学，41位企业践习，取得明显成效</w:t>
      </w:r>
      <w:r>
        <w:rPr>
          <w:rFonts w:hint="eastAsia" w:ascii="仿宋" w:hAnsi="仿宋" w:eastAsia="仿宋"/>
          <w:sz w:val="28"/>
          <w:szCs w:val="28"/>
        </w:rPr>
        <w:t>，“双师型”师资队伍不断扩大，已经</w:t>
      </w:r>
      <w:r>
        <w:rPr>
          <w:rFonts w:ascii="仿宋" w:hAnsi="仿宋" w:eastAsia="仿宋"/>
          <w:sz w:val="28"/>
          <w:szCs w:val="28"/>
        </w:rPr>
        <w:t>形成一支上海民办高校中教师数量最多、结构最合理的</w:t>
      </w:r>
      <w:r>
        <w:rPr>
          <w:rFonts w:hint="eastAsia" w:ascii="仿宋" w:hAnsi="仿宋" w:eastAsia="仿宋"/>
          <w:sz w:val="28"/>
          <w:szCs w:val="28"/>
        </w:rPr>
        <w:t>“双师型”</w:t>
      </w:r>
      <w:r>
        <w:rPr>
          <w:rFonts w:ascii="仿宋" w:hAnsi="仿宋" w:eastAsia="仿宋"/>
          <w:sz w:val="28"/>
          <w:szCs w:val="28"/>
        </w:rPr>
        <w:t>师资队伍。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（三）应用型人才培养特色鲜明</w:t>
      </w:r>
    </w:p>
    <w:p>
      <w:pPr>
        <w:spacing w:line="360" w:lineRule="auto"/>
        <w:rPr>
          <w:rFonts w:ascii="仿宋" w:hAnsi="仿宋" w:eastAsia="仿宋"/>
          <w:sz w:val="28"/>
          <w:szCs w:val="28"/>
        </w:rPr>
      </w:pPr>
      <w:r>
        <w:rPr>
          <w:rFonts w:hint="eastAsia" w:ascii="仿宋" w:hAnsi="仿宋" w:eastAsia="仿宋"/>
          <w:sz w:val="28"/>
          <w:szCs w:val="28"/>
        </w:rPr>
        <w:t xml:space="preserve">    学校贯彻“理实一体、行动导向、面向社会”的教学理念，</w:t>
      </w:r>
      <w:r>
        <w:rPr>
          <w:rFonts w:ascii="仿宋" w:hAnsi="仿宋" w:eastAsia="仿宋"/>
          <w:sz w:val="28"/>
          <w:szCs w:val="28"/>
        </w:rPr>
        <w:t>不断创新人才培养模式，深化教育教学改革，人才培养质量显著提高，</w:t>
      </w:r>
      <w:r>
        <w:rPr>
          <w:rFonts w:hint="eastAsia" w:ascii="仿宋" w:hAnsi="仿宋" w:eastAsia="仿宋"/>
          <w:sz w:val="28"/>
          <w:szCs w:val="28"/>
        </w:rPr>
        <w:t>“十二五”期间</w:t>
      </w:r>
      <w:r>
        <w:rPr>
          <w:rFonts w:ascii="仿宋" w:hAnsi="仿宋" w:eastAsia="仿宋"/>
          <w:sz w:val="28"/>
          <w:szCs w:val="28"/>
        </w:rPr>
        <w:t>共有近14600名合格毕业生走向社会建功立业，受到用人单位好评，就业率始终保持在98%以上，签约率稳定在90%左右。</w:t>
      </w:r>
      <w:r>
        <w:rPr>
          <w:rFonts w:hint="eastAsia" w:ascii="仿宋" w:hAnsi="仿宋" w:eastAsia="仿宋"/>
          <w:sz w:val="28"/>
          <w:szCs w:val="28"/>
        </w:rPr>
        <w:t>截至“十二五”末</w:t>
      </w:r>
      <w:r>
        <w:rPr>
          <w:rFonts w:ascii="仿宋" w:hAnsi="仿宋" w:eastAsia="仿宋"/>
          <w:sz w:val="28"/>
          <w:szCs w:val="28"/>
        </w:rPr>
        <w:t>，学校累计获得</w:t>
      </w:r>
      <w:r>
        <w:rPr>
          <w:rFonts w:hint="eastAsia" w:ascii="仿宋" w:hAnsi="仿宋" w:eastAsia="仿宋"/>
          <w:sz w:val="28"/>
          <w:szCs w:val="28"/>
        </w:rPr>
        <w:t>国家级综合改革试点专业1个，国家级实验实训基地1个，</w:t>
      </w:r>
      <w:r>
        <w:rPr>
          <w:rFonts w:ascii="仿宋" w:hAnsi="仿宋" w:eastAsia="仿宋"/>
          <w:sz w:val="28"/>
          <w:szCs w:val="28"/>
        </w:rPr>
        <w:t>上海市</w:t>
      </w:r>
      <w:r>
        <w:rPr>
          <w:rFonts w:hint="eastAsia" w:ascii="仿宋" w:hAnsi="仿宋" w:eastAsia="仿宋"/>
          <w:sz w:val="28"/>
          <w:szCs w:val="28"/>
        </w:rPr>
        <w:t>应用型</w:t>
      </w:r>
      <w:r>
        <w:rPr>
          <w:rFonts w:ascii="仿宋" w:hAnsi="仿宋" w:eastAsia="仿宋"/>
          <w:sz w:val="28"/>
          <w:szCs w:val="28"/>
        </w:rPr>
        <w:t>本科试点专业</w:t>
      </w:r>
      <w:r>
        <w:rPr>
          <w:rFonts w:hint="eastAsia" w:ascii="仿宋" w:hAnsi="仿宋" w:eastAsia="仿宋"/>
          <w:sz w:val="28"/>
          <w:szCs w:val="28"/>
        </w:rPr>
        <w:t>2</w:t>
      </w:r>
      <w:r>
        <w:rPr>
          <w:rFonts w:ascii="仿宋" w:hAnsi="仿宋" w:eastAsia="仿宋"/>
          <w:sz w:val="28"/>
          <w:szCs w:val="28"/>
        </w:rPr>
        <w:t>个，</w:t>
      </w:r>
      <w:r>
        <w:rPr>
          <w:rFonts w:hint="eastAsia" w:ascii="仿宋" w:hAnsi="仿宋" w:eastAsia="仿宋"/>
          <w:sz w:val="28"/>
          <w:szCs w:val="28"/>
        </w:rPr>
        <w:t>上海市教学成果奖5项，</w:t>
      </w:r>
      <w:r>
        <w:rPr>
          <w:rFonts w:ascii="仿宋" w:hAnsi="仿宋" w:eastAsia="仿宋"/>
          <w:sz w:val="28"/>
          <w:szCs w:val="28"/>
        </w:rPr>
        <w:t>上海市精品课程</w:t>
      </w:r>
      <w:r>
        <w:rPr>
          <w:rFonts w:hint="eastAsia" w:ascii="仿宋" w:hAnsi="仿宋" w:eastAsia="仿宋"/>
          <w:sz w:val="28"/>
          <w:szCs w:val="28"/>
        </w:rPr>
        <w:t>5</w:t>
      </w:r>
      <w:r>
        <w:rPr>
          <w:rFonts w:ascii="仿宋" w:hAnsi="仿宋" w:eastAsia="仿宋"/>
          <w:sz w:val="28"/>
          <w:szCs w:val="28"/>
        </w:rPr>
        <w:t>门、重点课程</w:t>
      </w:r>
      <w:r>
        <w:rPr>
          <w:rFonts w:hint="eastAsia" w:ascii="仿宋" w:hAnsi="仿宋" w:eastAsia="仿宋"/>
          <w:sz w:val="28"/>
          <w:szCs w:val="28"/>
        </w:rPr>
        <w:t>46</w:t>
      </w:r>
      <w:r>
        <w:rPr>
          <w:rFonts w:ascii="仿宋" w:hAnsi="仿宋" w:eastAsia="仿宋"/>
          <w:sz w:val="28"/>
          <w:szCs w:val="28"/>
        </w:rPr>
        <w:t>门、民办教育高地（特色专业建设）2个、</w:t>
      </w:r>
      <w:r>
        <w:rPr>
          <w:rFonts w:hint="eastAsia" w:ascii="仿宋" w:hAnsi="仿宋" w:eastAsia="仿宋"/>
          <w:sz w:val="28"/>
          <w:szCs w:val="28"/>
        </w:rPr>
        <w:t>上海市</w:t>
      </w:r>
      <w:r>
        <w:rPr>
          <w:rFonts w:ascii="仿宋" w:hAnsi="仿宋" w:eastAsia="仿宋"/>
          <w:sz w:val="28"/>
          <w:szCs w:val="28"/>
        </w:rPr>
        <w:t>教学团队1个，上海市</w:t>
      </w:r>
      <w:r>
        <w:rPr>
          <w:rFonts w:hint="eastAsia" w:ascii="仿宋" w:hAnsi="仿宋" w:eastAsia="仿宋"/>
          <w:sz w:val="28"/>
          <w:szCs w:val="28"/>
        </w:rPr>
        <w:t>本科</w:t>
      </w:r>
      <w:r>
        <w:rPr>
          <w:rFonts w:ascii="仿宋" w:hAnsi="仿宋" w:eastAsia="仿宋"/>
          <w:sz w:val="28"/>
          <w:szCs w:val="28"/>
        </w:rPr>
        <w:t>重点教改项目8个，上海市优秀教材5项，</w:t>
      </w:r>
      <w:r>
        <w:rPr>
          <w:rFonts w:hint="eastAsia" w:ascii="仿宋" w:hAnsi="仿宋" w:eastAsia="仿宋"/>
          <w:sz w:val="28"/>
          <w:szCs w:val="28"/>
        </w:rPr>
        <w:t>上海市中本贯通专业1个</w:t>
      </w:r>
      <w:r>
        <w:rPr>
          <w:rFonts w:ascii="仿宋" w:hAnsi="仿宋" w:eastAsia="仿宋"/>
          <w:sz w:val="28"/>
          <w:szCs w:val="28"/>
        </w:rPr>
        <w:t>。学生获得</w:t>
      </w:r>
      <w:r>
        <w:rPr>
          <w:rFonts w:hint="eastAsia" w:ascii="仿宋" w:hAnsi="仿宋" w:eastAsia="仿宋"/>
          <w:sz w:val="28"/>
          <w:szCs w:val="28"/>
        </w:rPr>
        <w:t>全国性</w:t>
      </w:r>
      <w:r>
        <w:rPr>
          <w:rFonts w:ascii="仿宋" w:hAnsi="仿宋" w:eastAsia="仿宋"/>
          <w:sz w:val="28"/>
          <w:szCs w:val="28"/>
        </w:rPr>
        <w:t>奖项达210项，省部级奖项已达244项。学校与172家企业建立校企合作关系，其中</w:t>
      </w:r>
      <w:r>
        <w:rPr>
          <w:rFonts w:hint="eastAsia" w:ascii="仿宋" w:hAnsi="仿宋" w:eastAsia="仿宋"/>
          <w:sz w:val="28"/>
          <w:szCs w:val="28"/>
        </w:rPr>
        <w:t>包括</w:t>
      </w:r>
      <w:r>
        <w:rPr>
          <w:rFonts w:ascii="仿宋" w:hAnsi="仿宋" w:eastAsia="仿宋"/>
          <w:sz w:val="28"/>
          <w:szCs w:val="28"/>
        </w:rPr>
        <w:t>中兴通讯、春秋航空、百联汽车、豫园黄金、</w:t>
      </w:r>
      <w:r>
        <w:rPr>
          <w:rFonts w:hint="eastAsia" w:ascii="仿宋" w:hAnsi="仿宋" w:eastAsia="仿宋"/>
          <w:sz w:val="28"/>
          <w:szCs w:val="28"/>
        </w:rPr>
        <w:t>喜达屋</w:t>
      </w:r>
      <w:r>
        <w:rPr>
          <w:rFonts w:ascii="仿宋" w:hAnsi="仿宋" w:eastAsia="仿宋"/>
          <w:sz w:val="28"/>
          <w:szCs w:val="28"/>
        </w:rPr>
        <w:t>等知名企业。</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（四）实践基地建设成效显著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学校注重产学研基地和实验实训基地建设，充分发挥基地的项目研究、案例教学、实训操作等多种功能。通过积极承担教育部、市旅游局、市教委、市税务局及浦东新区政府等的研究课题，解决经济社会发展中的实际问题。“十二五”期间</w:t>
      </w:r>
      <w:r>
        <w:rPr>
          <w:rFonts w:ascii="仿宋" w:hAnsi="仿宋" w:eastAsia="仿宋"/>
          <w:sz w:val="28"/>
          <w:szCs w:val="28"/>
        </w:rPr>
        <w:t>，学校对外合作发展迅速</w:t>
      </w:r>
      <w:r>
        <w:rPr>
          <w:rFonts w:hint="eastAsia" w:ascii="仿宋" w:hAnsi="仿宋" w:eastAsia="仿宋"/>
          <w:sz w:val="28"/>
          <w:szCs w:val="28"/>
        </w:rPr>
        <w:t>，</w:t>
      </w:r>
      <w:r>
        <w:rPr>
          <w:rFonts w:ascii="仿宋" w:hAnsi="仿宋" w:eastAsia="仿宋"/>
          <w:sz w:val="28"/>
          <w:szCs w:val="28"/>
        </w:rPr>
        <w:t>国际化战略迈出坚实步伐，与56所境外高校（其中台湾18所）签署合作协议，共有480余名学生赴境外游学或深造（其中赴台230名），430余人次教师赴境外学习或考察（其中赴台160人次）。与丹麦奥胡斯商学院</w:t>
      </w:r>
      <w:r>
        <w:rPr>
          <w:rFonts w:hint="eastAsia" w:ascii="仿宋" w:hAnsi="仿宋" w:eastAsia="仿宋"/>
          <w:sz w:val="28"/>
          <w:szCs w:val="28"/>
        </w:rPr>
        <w:t>、德国维尔道应用技术大学</w:t>
      </w:r>
      <w:r>
        <w:rPr>
          <w:rFonts w:ascii="仿宋" w:hAnsi="仿宋" w:eastAsia="仿宋"/>
          <w:sz w:val="28"/>
          <w:szCs w:val="28"/>
        </w:rPr>
        <w:t>的留学生项目已成功举办三期，共有73名留学生来校开展为期一学期的学习。另有50余名留学生来校短期游学。学校成立了上海民办高校中第一个以招收外籍留学生为主的国际设计学院，目前共有25名留学生在校攻读学位。我校与美国沃恩航空科技学院合作办学项目正式获得教育部批准，实现了中外合作办学项目零的突破。此外，在日本、泰国、斯里兰卡等地区，学校陆续建成了一批海外实习基地。</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（五）联合培养专业学位研究生迈出重要一步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2011年，我校设置了学科建设办公室，并承担了专业学位研究生教育的管理工作。学校先后与东华大学、上海海洋大学签订合作协议，积极开展联合培养专业学位研究生工作。目前，我校在计算机技术、农业推广等两个专业类别上开展了联合培养研究生工作，近10名教师被合作学校聘为硕士生导师，已有二届学生顺利毕业，积累了宝贵的专业学位研究生培养经验。</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二、开展专业学位研究生教育的重要意义</w:t>
      </w:r>
    </w:p>
    <w:p>
      <w:pPr>
        <w:spacing w:line="360" w:lineRule="auto"/>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研究生教育作为国民教育体系的顶端，是培养高层次人才的主要途径，</w:t>
      </w:r>
      <w:r>
        <w:rPr>
          <w:rFonts w:ascii="仿宋" w:hAnsi="仿宋" w:eastAsia="仿宋"/>
          <w:color w:val="000000" w:themeColor="text1"/>
          <w:sz w:val="28"/>
          <w:szCs w:val="28"/>
        </w:rPr>
        <w:t>专业学位</w:t>
      </w:r>
      <w:r>
        <w:rPr>
          <w:rFonts w:hint="eastAsia" w:ascii="仿宋" w:hAnsi="仿宋" w:eastAsia="仿宋"/>
          <w:color w:val="000000" w:themeColor="text1"/>
          <w:sz w:val="28"/>
          <w:szCs w:val="28"/>
        </w:rPr>
        <w:t>研究生</w:t>
      </w:r>
      <w:r>
        <w:rPr>
          <w:rFonts w:ascii="仿宋" w:hAnsi="仿宋" w:eastAsia="仿宋"/>
          <w:color w:val="000000" w:themeColor="text1"/>
          <w:sz w:val="28"/>
          <w:szCs w:val="28"/>
        </w:rPr>
        <w:t>教育是培养高层次应用型人才的重要途径</w:t>
      </w:r>
      <w:r>
        <w:rPr>
          <w:rFonts w:hint="eastAsia" w:ascii="仿宋" w:hAnsi="仿宋" w:eastAsia="仿宋"/>
          <w:color w:val="000000" w:themeColor="text1"/>
          <w:sz w:val="28"/>
          <w:szCs w:val="28"/>
        </w:rPr>
        <w:t>。根据教育部关于深化专业学位研究生教育综合改革工作的要求，面对上海加快实施创新驱动发展战略、加快四个中心建设和具有全球影响力的科技创新中心建设对高层次应用型人才培养的新要求，上海需要进一步推动专业学位研究生教育的发展和改革。为适应中国经济发展“新常态”，特别是上海加快发展现代服务业与先进制造业，对高层次应用型人才产生了旺盛的需求，对高层次应用型专门人才培养提出了新的要求，为相关类别专门人才提供了广阔的发展空间。</w:t>
      </w:r>
    </w:p>
    <w:p>
      <w:pPr>
        <w:spacing w:line="360" w:lineRule="auto"/>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上海建桥学院作为一所具有鲜明特色和较好行业背景的应用型民办本科高校，开展专业学位研究生教育是</w:t>
      </w:r>
      <w:r>
        <w:rPr>
          <w:rFonts w:ascii="仿宋" w:hAnsi="仿宋" w:eastAsia="仿宋"/>
          <w:color w:val="000000" w:themeColor="text1"/>
          <w:sz w:val="28"/>
          <w:szCs w:val="28"/>
        </w:rPr>
        <w:t>今后一段时期</w:t>
      </w:r>
      <w:r>
        <w:rPr>
          <w:rFonts w:hint="eastAsia" w:ascii="仿宋" w:hAnsi="仿宋" w:eastAsia="仿宋"/>
          <w:color w:val="000000" w:themeColor="text1"/>
          <w:sz w:val="28"/>
          <w:szCs w:val="28"/>
        </w:rPr>
        <w:t>学校学位与</w:t>
      </w:r>
      <w:r>
        <w:rPr>
          <w:rFonts w:ascii="仿宋" w:hAnsi="仿宋" w:eastAsia="仿宋"/>
          <w:color w:val="000000" w:themeColor="text1"/>
          <w:sz w:val="28"/>
          <w:szCs w:val="28"/>
        </w:rPr>
        <w:t>研究生教育的重要发展方向</w:t>
      </w:r>
      <w:r>
        <w:rPr>
          <w:rFonts w:hint="eastAsia" w:ascii="仿宋" w:hAnsi="仿宋" w:eastAsia="仿宋"/>
          <w:color w:val="000000" w:themeColor="text1"/>
          <w:sz w:val="28"/>
          <w:szCs w:val="28"/>
        </w:rPr>
        <w:t>，它不仅可以充分发挥学校在应用型人才培养上所积累的丰富经验，而且还可以避免传统的学术型研究生培养模式的影响，从而更加有利于探索专业学位硕士研究生的培养模式与培养方法，更好地适应我国研究生教育结构布局的优化调整，在构建高层次应用型人才培养体系过程中发挥积极的作用。制定专业学位研究生教育发展规划，不仅可以落实学校“十三五”发展总体战略，明确学校高层次应用型才人培养的目标定位，而且可以统一思想，集聚力量，推进学校办学理念的提升和加快转型发展。</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三、编制依据</w:t>
      </w:r>
    </w:p>
    <w:p>
      <w:pPr>
        <w:spacing w:line="360" w:lineRule="auto"/>
        <w:ind w:firstLine="619" w:firstLineChars="221"/>
        <w:rPr>
          <w:rFonts w:ascii="仿宋" w:hAnsi="仿宋" w:eastAsia="仿宋"/>
          <w:sz w:val="28"/>
          <w:szCs w:val="28"/>
        </w:rPr>
      </w:pPr>
      <w:r>
        <w:rPr>
          <w:rFonts w:hint="eastAsia" w:ascii="仿宋" w:hAnsi="仿宋" w:eastAsia="仿宋"/>
          <w:sz w:val="28"/>
          <w:szCs w:val="28"/>
        </w:rPr>
        <w:t>1.国务院关于发展现代职业教育的决定（2014年）</w:t>
      </w:r>
    </w:p>
    <w:p>
      <w:pPr>
        <w:spacing w:line="360" w:lineRule="auto"/>
        <w:ind w:firstLine="619" w:firstLineChars="221"/>
        <w:rPr>
          <w:rFonts w:ascii="仿宋" w:hAnsi="仿宋" w:eastAsia="仿宋"/>
          <w:sz w:val="28"/>
          <w:szCs w:val="28"/>
        </w:rPr>
      </w:pPr>
      <w:r>
        <w:rPr>
          <w:rFonts w:hint="eastAsia" w:ascii="仿宋" w:hAnsi="仿宋" w:eastAsia="仿宋"/>
          <w:sz w:val="28"/>
          <w:szCs w:val="28"/>
        </w:rPr>
        <w:t>2.教育部等关于引导部分地方普通本科高校向应用型转变的指导意见（2015年）</w:t>
      </w:r>
    </w:p>
    <w:p>
      <w:pPr>
        <w:spacing w:line="360" w:lineRule="auto"/>
        <w:ind w:firstLine="619" w:firstLineChars="221"/>
        <w:rPr>
          <w:rFonts w:ascii="仿宋" w:hAnsi="仿宋" w:eastAsia="仿宋"/>
          <w:sz w:val="28"/>
          <w:szCs w:val="28"/>
        </w:rPr>
      </w:pPr>
      <w:r>
        <w:rPr>
          <w:rFonts w:hint="eastAsia" w:ascii="仿宋" w:hAnsi="仿宋" w:eastAsia="仿宋"/>
          <w:sz w:val="28"/>
          <w:szCs w:val="28"/>
        </w:rPr>
        <w:t>3.</w:t>
      </w:r>
      <w:r>
        <w:rPr>
          <w:rFonts w:hint="eastAsia" w:ascii="仿宋" w:hAnsi="仿宋" w:eastAsia="仿宋"/>
          <w:bCs/>
          <w:sz w:val="28"/>
          <w:szCs w:val="28"/>
        </w:rPr>
        <w:t>上海高等教育布局结构与发展规划（2015-2030）</w:t>
      </w:r>
      <w:r>
        <w:rPr>
          <w:rFonts w:hint="eastAsia" w:ascii="仿宋" w:hAnsi="仿宋" w:eastAsia="仿宋"/>
          <w:sz w:val="28"/>
          <w:szCs w:val="28"/>
        </w:rPr>
        <w:t>（2015年）</w:t>
      </w:r>
    </w:p>
    <w:p>
      <w:pPr>
        <w:spacing w:line="360" w:lineRule="auto"/>
        <w:ind w:firstLine="619" w:firstLineChars="221"/>
        <w:rPr>
          <w:rFonts w:ascii="仿宋" w:hAnsi="仿宋" w:eastAsia="仿宋"/>
          <w:sz w:val="28"/>
          <w:szCs w:val="28"/>
        </w:rPr>
      </w:pPr>
      <w:r>
        <w:rPr>
          <w:rFonts w:hint="eastAsia" w:ascii="仿宋" w:hAnsi="仿宋" w:eastAsia="仿宋"/>
          <w:sz w:val="28"/>
          <w:szCs w:val="28"/>
        </w:rPr>
        <w:t>4.</w:t>
      </w:r>
      <w:r>
        <w:rPr>
          <w:rFonts w:hint="eastAsia" w:ascii="仿宋" w:hAnsi="仿宋" w:eastAsia="仿宋"/>
          <w:bCs/>
          <w:sz w:val="28"/>
          <w:szCs w:val="28"/>
        </w:rPr>
        <w:t>上海现代职业教育体系建设规划（2015-2030）</w:t>
      </w:r>
      <w:r>
        <w:rPr>
          <w:rFonts w:hint="eastAsia" w:ascii="仿宋" w:hAnsi="仿宋" w:eastAsia="仿宋"/>
          <w:sz w:val="28"/>
          <w:szCs w:val="28"/>
        </w:rPr>
        <w:t>（2015年）</w:t>
      </w:r>
    </w:p>
    <w:p>
      <w:pPr>
        <w:spacing w:line="360" w:lineRule="auto"/>
        <w:ind w:firstLine="619" w:firstLineChars="221"/>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上海市</w:t>
      </w:r>
      <w:r>
        <w:rPr>
          <w:rFonts w:hint="eastAsia" w:ascii="仿宋" w:hAnsi="仿宋" w:eastAsia="仿宋"/>
          <w:sz w:val="28"/>
          <w:szCs w:val="28"/>
        </w:rPr>
        <w:t>深化民办</w:t>
      </w:r>
      <w:r>
        <w:rPr>
          <w:rFonts w:ascii="仿宋" w:hAnsi="仿宋" w:eastAsia="仿宋"/>
          <w:sz w:val="28"/>
          <w:szCs w:val="28"/>
        </w:rPr>
        <w:t>教育综合改革</w:t>
      </w:r>
      <w:r>
        <w:rPr>
          <w:rFonts w:hint="eastAsia" w:ascii="仿宋" w:hAnsi="仿宋" w:eastAsia="仿宋"/>
          <w:sz w:val="28"/>
          <w:szCs w:val="28"/>
        </w:rPr>
        <w:t>指导意见</w:t>
      </w:r>
      <w:r>
        <w:rPr>
          <w:rFonts w:ascii="仿宋" w:hAnsi="仿宋" w:eastAsia="仿宋"/>
          <w:sz w:val="28"/>
          <w:szCs w:val="28"/>
        </w:rPr>
        <w:t>（2014-2020）</w:t>
      </w:r>
      <w:r>
        <w:rPr>
          <w:rFonts w:hint="eastAsia" w:ascii="仿宋" w:hAnsi="仿宋" w:eastAsia="仿宋"/>
          <w:sz w:val="28"/>
          <w:szCs w:val="28"/>
        </w:rPr>
        <w:t xml:space="preserve">（2014年）                                 </w:t>
      </w:r>
    </w:p>
    <w:p>
      <w:pPr>
        <w:spacing w:line="360" w:lineRule="auto"/>
        <w:ind w:firstLine="619" w:firstLineChars="221"/>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上海建桥学院“十三五”期间发展规划纲要</w:t>
      </w:r>
      <w:r>
        <w:rPr>
          <w:rFonts w:hint="eastAsia" w:ascii="仿宋" w:hAnsi="仿宋" w:eastAsia="仿宋"/>
          <w:sz w:val="28"/>
          <w:szCs w:val="28"/>
        </w:rPr>
        <w:t>（2016）</w:t>
      </w:r>
    </w:p>
    <w:p>
      <w:pPr>
        <w:spacing w:line="360" w:lineRule="auto"/>
        <w:rPr>
          <w:rFonts w:ascii="仿宋" w:hAnsi="仿宋" w:eastAsia="仿宋"/>
          <w:b/>
          <w:sz w:val="28"/>
          <w:szCs w:val="28"/>
        </w:rPr>
      </w:pPr>
      <w:r>
        <w:rPr>
          <w:rFonts w:hint="eastAsia" w:ascii="仿宋" w:hAnsi="仿宋" w:eastAsia="仿宋"/>
          <w:b/>
          <w:sz w:val="28"/>
          <w:szCs w:val="28"/>
        </w:rPr>
        <w:t xml:space="preserve">    四、指导思想、总体思路与目标</w:t>
      </w:r>
    </w:p>
    <w:p>
      <w:pPr>
        <w:pStyle w:val="16"/>
        <w:shd w:val="clear" w:color="auto" w:fill="FFFFFF"/>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 xml:space="preserve">    1.指导思想</w:t>
      </w:r>
    </w:p>
    <w:p>
      <w:pPr>
        <w:pStyle w:val="16"/>
        <w:shd w:val="clear" w:color="auto" w:fill="FFFFFF"/>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 xml:space="preserve">    根据《</w:t>
      </w:r>
      <w:r>
        <w:rPr>
          <w:rFonts w:ascii="仿宋" w:hAnsi="仿宋" w:eastAsia="仿宋"/>
          <w:sz w:val="28"/>
          <w:szCs w:val="28"/>
        </w:rPr>
        <w:t>上海建桥学院“十三五”期间发展规划纲要</w:t>
      </w:r>
      <w:r>
        <w:rPr>
          <w:rFonts w:hint="eastAsia" w:ascii="仿宋" w:hAnsi="仿宋" w:eastAsia="仿宋"/>
          <w:sz w:val="28"/>
          <w:szCs w:val="28"/>
        </w:rPr>
        <w:t>》，学校</w:t>
      </w:r>
      <w:r>
        <w:rPr>
          <w:rFonts w:ascii="仿宋" w:hAnsi="仿宋" w:eastAsia="仿宋"/>
          <w:sz w:val="28"/>
          <w:szCs w:val="28"/>
        </w:rPr>
        <w:t>“十三五”期间</w:t>
      </w:r>
      <w:r>
        <w:rPr>
          <w:rFonts w:hint="eastAsia" w:ascii="仿宋" w:hAnsi="仿宋" w:eastAsia="仿宋"/>
          <w:sz w:val="28"/>
          <w:szCs w:val="28"/>
        </w:rPr>
        <w:t>的总体目标是，紧密结合上海和浦东地区经济社会发展，对接临港地区产业发展需求，坚持国际合作与产学合作双轮驱动，到2020年，把建桥初步办成一所特色鲜明的多科性应用技术型大学和一所受人尊敬的民办大学，综合实力和竞争力跻身中国一流民办大学行列。</w:t>
      </w:r>
    </w:p>
    <w:p>
      <w:pPr>
        <w:pStyle w:val="16"/>
        <w:shd w:val="clear" w:color="auto" w:fill="FFFFFF"/>
        <w:spacing w:before="0" w:beforeAutospacing="0" w:after="0" w:afterAutospacing="0" w:line="360" w:lineRule="auto"/>
        <w:ind w:firstLine="480"/>
        <w:rPr>
          <w:rFonts w:ascii="仿宋" w:hAnsi="仿宋" w:eastAsia="仿宋"/>
          <w:sz w:val="28"/>
          <w:szCs w:val="28"/>
        </w:rPr>
      </w:pPr>
      <w:r>
        <w:rPr>
          <w:rFonts w:hint="eastAsia" w:ascii="仿宋" w:hAnsi="仿宋" w:eastAsia="仿宋"/>
          <w:sz w:val="28"/>
          <w:szCs w:val="28"/>
        </w:rPr>
        <w:t>根据这一总体目标，学校将坚持走质量提升为核心的内涵式发展道路，通过依法治校规范办学行为，通过改革创新激发办学活力，通过完善现代大学制度建设提升治理能力，以人才培养模式改革为根本，以师资队伍建设为基础，以国际合作、产学合作为双轮驱动，加强区校联动、企校联动、校校联动，力争在人才培养、科学研究、社会服务、文化传承创新方面取得新进展，开展专业学位研究生教育，成为专业硕士学位授予单位，提升学校办学层次。</w:t>
      </w:r>
    </w:p>
    <w:p>
      <w:pPr>
        <w:spacing w:line="360" w:lineRule="auto"/>
        <w:ind w:firstLine="555"/>
        <w:rPr>
          <w:rFonts w:ascii="仿宋" w:hAnsi="仿宋" w:eastAsia="仿宋"/>
          <w:sz w:val="28"/>
          <w:szCs w:val="28"/>
        </w:rPr>
      </w:pPr>
      <w:r>
        <w:rPr>
          <w:rFonts w:hint="eastAsia" w:ascii="仿宋" w:hAnsi="仿宋" w:eastAsia="仿宋"/>
          <w:sz w:val="28"/>
          <w:szCs w:val="28"/>
        </w:rPr>
        <w:t>2.总体思路与目标</w:t>
      </w:r>
    </w:p>
    <w:p>
      <w:pPr>
        <w:spacing w:line="360" w:lineRule="auto"/>
        <w:ind w:firstLine="555"/>
        <w:rPr>
          <w:rFonts w:ascii="仿宋" w:hAnsi="仿宋" w:eastAsia="仿宋"/>
          <w:sz w:val="28"/>
          <w:szCs w:val="28"/>
        </w:rPr>
      </w:pPr>
      <w:r>
        <w:rPr>
          <w:rFonts w:hint="eastAsia" w:ascii="仿宋" w:hAnsi="仿宋" w:eastAsia="仿宋"/>
          <w:sz w:val="28"/>
          <w:szCs w:val="28"/>
        </w:rPr>
        <w:t>开展专业学位研究生教育的总体思路是，根据专业学位研究生教育发展规律，以服务需求、提升质量为主线，以学科专业布局结构的优化调整为依据，形成适应发展需求的专业硕士学位规模与结构；建立以职业需求为导向、以实践能力培养为重点、以产学结合为途径的专业学位研究生培养模式；遵循聚焦、错位、合作的建设路径，推动专业学位研究生教育特色发展，更好地满足国家和地方社会经济发展对高层次应用型专门人才的需求。</w:t>
      </w:r>
    </w:p>
    <w:p>
      <w:pPr>
        <w:spacing w:line="360" w:lineRule="auto"/>
        <w:rPr>
          <w:rFonts w:ascii="仿宋" w:hAnsi="仿宋" w:eastAsia="仿宋"/>
          <w:sz w:val="28"/>
          <w:szCs w:val="28"/>
        </w:rPr>
      </w:pPr>
      <w:r>
        <w:rPr>
          <w:rFonts w:hint="eastAsia" w:ascii="仿宋" w:hAnsi="仿宋" w:eastAsia="仿宋"/>
          <w:sz w:val="28"/>
          <w:szCs w:val="28"/>
        </w:rPr>
        <w:t xml:space="preserve">    根据学校发展定位和专业学位研究生教育的总体思路，学校在培养生产建设、管理、服务第一线高素质应用型本科人才的基础上，在2018年成为专业硕士学位授予单位，同步开展工程硕士（计算机技术）、国际商务硕士两个学位点的研究生教育；至2020年，再在工程管理、集成电路工程、旅游管理、艺术、机械工程、翻译、金融、新闻与传播中增选4个专业硕士学位点；以每个学位点年招生规模30人测算，到2020年专业学位研究生在校生总规模达360人左右（见附表一），为上海乃至全国培养一批高层次应用型专门人才。</w:t>
      </w:r>
    </w:p>
    <w:p>
      <w:pPr>
        <w:spacing w:line="360" w:lineRule="auto"/>
        <w:rPr>
          <w:rFonts w:ascii="仿宋" w:hAnsi="仿宋" w:eastAsia="仿宋"/>
          <w:b/>
          <w:sz w:val="28"/>
          <w:szCs w:val="28"/>
        </w:rPr>
      </w:pPr>
      <w:r>
        <w:rPr>
          <w:rFonts w:hint="eastAsia" w:ascii="仿宋" w:hAnsi="仿宋" w:eastAsia="仿宋"/>
          <w:b/>
          <w:sz w:val="28"/>
          <w:szCs w:val="28"/>
        </w:rPr>
        <w:t xml:space="preserve">    五、战略举措</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（一）建立专业学位研究生教育管理体制</w:t>
      </w:r>
    </w:p>
    <w:p>
      <w:pPr>
        <w:pStyle w:val="16"/>
        <w:shd w:val="clear" w:color="auto" w:fill="FFFFFF"/>
        <w:spacing w:before="0" w:beforeAutospacing="0" w:after="0" w:afterAutospacing="0" w:line="360" w:lineRule="auto"/>
        <w:rPr>
          <w:rFonts w:ascii="微软雅黑" w:hAnsi="微软雅黑" w:eastAsia="微软雅黑"/>
          <w:color w:val="333333"/>
          <w:sz w:val="21"/>
          <w:szCs w:val="21"/>
        </w:rPr>
      </w:pPr>
      <w:r>
        <w:rPr>
          <w:rFonts w:hint="eastAsia" w:ascii="仿宋" w:hAnsi="仿宋" w:eastAsia="仿宋"/>
          <w:sz w:val="28"/>
          <w:szCs w:val="28"/>
        </w:rPr>
        <w:t xml:space="preserve">    1.</w:t>
      </w:r>
      <w:r>
        <w:rPr>
          <w:rFonts w:hint="eastAsia" w:ascii="仿宋" w:hAnsi="仿宋" w:eastAsia="仿宋"/>
          <w:color w:val="333333"/>
          <w:sz w:val="28"/>
          <w:szCs w:val="28"/>
        </w:rPr>
        <w:t>坚持以应用技术大学办学定位为指导，统筹推进人文科学与自然科学的整体布局、协调发展，根据学科建设、专业建设、专业学位点建设一体化的工作思路，实施抓特色、抓机制、抓绩效的学科建设管理办法，探索建立有利于学校专业学位研究生教育发展的教育管理体制机制</w:t>
      </w:r>
      <w:r>
        <w:rPr>
          <w:rFonts w:hint="eastAsia" w:ascii="微软雅黑" w:hAnsi="微软雅黑" w:eastAsia="微软雅黑"/>
          <w:color w:val="333333"/>
          <w:sz w:val="21"/>
          <w:szCs w:val="21"/>
        </w:rPr>
        <w:t>。</w:t>
      </w:r>
    </w:p>
    <w:p>
      <w:pPr>
        <w:pStyle w:val="16"/>
        <w:shd w:val="clear" w:color="auto" w:fill="FFFFFF"/>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 xml:space="preserve">    2.根据专业学位研究生教育特点和规律，创新管理体制和运行机制。建立和完善责、权、利相统一的校院两级管理体制，使学校原有的以职能部门为主的管理模式真正转变为以二级学院为主体的管理模式。学校通过目标责任制实现对二级学院的管控，试行KPI关键绩效指标考核。实行校内资源使用成本核算，试点关键绩效产出为导向的资源配置模式。加强研究生教育管理部门等相关职能部门在专业学位研究生教育规划、管理、资源整合、质量保障体系建设等方面的作用。同时，鼓励学院开展两级管理综合改革试点，加大二级学院在专业学位研究生教育培养工作中的自主权，促进专业学位研究生教育规范有序、充满活力。建立研究生工作信息管理系统，规范管理过程，提高管理效率和信息化、科学化水平。</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（二）形成适应发展需求的专业学位体系、规模与结构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3.对接上海职业教育发展规划，探索构建硕士专业学位研究生培养与高等职业教育专科、应用型本科人才培养相衔接的培养体系和方法，拓展高层次技术技能人才成长的通道。</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以服务地方经济社会发展需求为指引，建立紧密对接产业链的应用型学科专业体系。以管、文、工三大支柱学科门类为基础，建设以下七个学科专业群：（1）依托并服务于临港产业区现代装备和制造业的智能制造专业群:（2）依托并服务于临港信息产业园的ICT专业群；（3）依托并服务于自贸区转口离岸业务的贸易、金融、物流专业群；（4）依托并服务于迪斯尼和国际休闲度假旅游区的休闲服务专业群；（5）依托并服务于上海国际航运中心的航空服务专业群；（6）依托并服务于上海文化创意产业的珠宝专业群、新媒体专业群和创意设计专业群；（7）依托并服务于上海外向型经济的应用外语专业群。选取5-6个有一定特色的专业学位类别作为学校重点建设领域，集中人、财、物等各项资源优先发展。鼓励各学院之间、各专业之间跨领域合作，如信息技术与全媒体、珠宝与艺术、ICT与机械制造、非物质文化与旅游管理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（三）创新专业学位研究生培养模式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通过聚焦应用型学科，开展产学合作科研、实践基地建设，使学校专业学位研究生培养与行业企业实施“七共同”，建立与经济社会发展相适应、具有学校特色和专业学位类别特征的专业学位研究生培养模式：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共同一）共同制定专业学位人才培养基本要求。根据全国各专业学位研究生教育指导委员会的要求，以《专业学位类别（领域）博士、硕士学位基本要求》为依据，与行业企业共同制定学校重点发展和建设的各专业学位类别人才培养基本要求。</w:t>
      </w:r>
    </w:p>
    <w:p>
      <w:pPr>
        <w:widowControl/>
        <w:shd w:val="clear" w:color="auto" w:fill="FFFFFF"/>
        <w:spacing w:line="360" w:lineRule="auto"/>
        <w:ind w:firstLine="570"/>
        <w:jc w:val="left"/>
        <w:rPr>
          <w:rFonts w:ascii="仿宋" w:hAnsi="仿宋" w:eastAsia="仿宋" w:cs="宋体"/>
          <w:color w:val="000000" w:themeColor="text1"/>
          <w:kern w:val="0"/>
          <w:sz w:val="28"/>
          <w:szCs w:val="28"/>
        </w:rPr>
      </w:pPr>
      <w:r>
        <w:rPr>
          <w:rFonts w:hint="eastAsia" w:ascii="仿宋" w:hAnsi="仿宋" w:eastAsia="仿宋"/>
          <w:sz w:val="28"/>
          <w:szCs w:val="28"/>
        </w:rPr>
        <w:t>6.（共同二）共同确定专业学位研究生选拔标准。</w:t>
      </w:r>
      <w:r>
        <w:rPr>
          <w:rFonts w:hint="eastAsia" w:ascii="仿宋" w:hAnsi="仿宋" w:eastAsia="仿宋" w:cs="宋体"/>
          <w:color w:val="000000" w:themeColor="text1"/>
          <w:kern w:val="0"/>
          <w:sz w:val="28"/>
          <w:szCs w:val="28"/>
        </w:rPr>
        <w:t>坚持招生制度改革为人才培养服务的方向，</w:t>
      </w:r>
      <w:r>
        <w:rPr>
          <w:rFonts w:hint="eastAsia" w:ascii="仿宋" w:hAnsi="仿宋" w:eastAsia="仿宋"/>
          <w:sz w:val="28"/>
          <w:szCs w:val="28"/>
        </w:rPr>
        <w:t>与行业企业共同确定</w:t>
      </w:r>
      <w:r>
        <w:rPr>
          <w:rFonts w:hint="eastAsia" w:ascii="仿宋" w:hAnsi="仿宋" w:eastAsia="仿宋" w:cs="宋体"/>
          <w:color w:val="000000" w:themeColor="text1"/>
          <w:kern w:val="0"/>
          <w:sz w:val="28"/>
          <w:szCs w:val="28"/>
        </w:rPr>
        <w:t>符合专业学位研究生教育特点的选拔标准，建立和完善专业学位研究生招生办法，重点考查考生综合素质、运用基础理论和专业知识分析解决实际问题的能力以及职业发展潜力。拓宽和规范在职人员攻读硕士专业学位的渠道。</w:t>
      </w:r>
    </w:p>
    <w:p>
      <w:pPr>
        <w:widowControl/>
        <w:shd w:val="clear" w:color="auto" w:fill="FFFFFF"/>
        <w:spacing w:line="360" w:lineRule="auto"/>
        <w:ind w:firstLine="570"/>
        <w:jc w:val="left"/>
        <w:rPr>
          <w:rFonts w:ascii="仿宋" w:hAnsi="仿宋" w:eastAsia="仿宋" w:cs="宋体"/>
          <w:color w:val="000000" w:themeColor="text1"/>
          <w:kern w:val="0"/>
          <w:sz w:val="28"/>
          <w:szCs w:val="28"/>
        </w:rPr>
      </w:pPr>
      <w:r>
        <w:rPr>
          <w:rFonts w:hint="eastAsia" w:ascii="仿宋" w:hAnsi="仿宋" w:eastAsia="仿宋"/>
          <w:sz w:val="28"/>
          <w:szCs w:val="28"/>
        </w:rPr>
        <w:t>7.（共同三）共同制订培养方案。</w:t>
      </w:r>
      <w:r>
        <w:rPr>
          <w:rFonts w:hint="eastAsia" w:ascii="仿宋" w:hAnsi="仿宋" w:eastAsia="仿宋" w:cs="宋体"/>
          <w:color w:val="000000" w:themeColor="text1"/>
          <w:kern w:val="0"/>
          <w:sz w:val="28"/>
          <w:szCs w:val="28"/>
        </w:rPr>
        <w:t>依据特定职业领域专门人才的知识能力结构和职业素养要求，以及全日制或非全日制学习方式，</w:t>
      </w:r>
      <w:r>
        <w:rPr>
          <w:rFonts w:hint="eastAsia" w:ascii="仿宋" w:hAnsi="仿宋" w:eastAsia="仿宋"/>
          <w:sz w:val="28"/>
          <w:szCs w:val="28"/>
        </w:rPr>
        <w:t>与行业企业共同</w:t>
      </w:r>
      <w:r>
        <w:rPr>
          <w:rFonts w:hint="eastAsia" w:ascii="仿宋" w:hAnsi="仿宋" w:eastAsia="仿宋" w:cs="宋体"/>
          <w:color w:val="000000" w:themeColor="text1"/>
          <w:kern w:val="0"/>
          <w:sz w:val="28"/>
          <w:szCs w:val="28"/>
        </w:rPr>
        <w:t>制订专业学位研究生培养方案并定期修订。合理设置课程体系和培养环节，加大实践性课程的比重。全面承担课程建设责任，加强对课程建设的长远和系统规划。加强不同阶段和环节课程的整合、衔接，将创新创业能力培养纳入课程体系。鼓励二级学院结合区域经济社会发展特点和相关行业企业专家的建议，制订各具特色的培养方案。</w:t>
      </w:r>
    </w:p>
    <w:p>
      <w:pPr>
        <w:widowControl/>
        <w:shd w:val="clear" w:color="auto" w:fill="FFFFFF"/>
        <w:spacing w:line="360" w:lineRule="auto"/>
        <w:ind w:firstLine="570"/>
        <w:jc w:val="left"/>
        <w:rPr>
          <w:rFonts w:ascii="仿宋" w:hAnsi="仿宋" w:eastAsia="仿宋" w:cs="宋体"/>
          <w:color w:val="000000" w:themeColor="text1"/>
          <w:kern w:val="0"/>
          <w:sz w:val="28"/>
          <w:szCs w:val="28"/>
        </w:rPr>
      </w:pPr>
      <w:r>
        <w:rPr>
          <w:rFonts w:hint="eastAsia" w:ascii="仿宋" w:hAnsi="仿宋" w:eastAsia="仿宋"/>
          <w:sz w:val="28"/>
          <w:szCs w:val="28"/>
        </w:rPr>
        <w:t>8.（共同四）共同组织课程教学。</w:t>
      </w:r>
      <w:r>
        <w:rPr>
          <w:rFonts w:hint="eastAsia" w:ascii="仿宋" w:hAnsi="仿宋" w:eastAsia="仿宋" w:cs="宋体"/>
          <w:color w:val="000000" w:themeColor="text1"/>
          <w:kern w:val="0"/>
          <w:sz w:val="28"/>
          <w:szCs w:val="28"/>
        </w:rPr>
        <w:t>紧紧围绕培养目标，</w:t>
      </w:r>
      <w:r>
        <w:rPr>
          <w:rFonts w:hint="eastAsia" w:ascii="仿宋" w:hAnsi="仿宋" w:eastAsia="仿宋"/>
          <w:sz w:val="28"/>
          <w:szCs w:val="28"/>
        </w:rPr>
        <w:t>与行业企业共同组织课程教学。通过</w:t>
      </w:r>
      <w:r>
        <w:rPr>
          <w:rFonts w:hint="eastAsia" w:ascii="仿宋" w:hAnsi="仿宋" w:eastAsia="仿宋" w:cs="宋体"/>
          <w:color w:val="000000" w:themeColor="text1"/>
          <w:kern w:val="0"/>
          <w:sz w:val="28"/>
          <w:szCs w:val="28"/>
        </w:rPr>
        <w:t>优化课程体系框架，优选教学内容，突出课程实用性和综合性，增强理论与实际的联系。创新教学方法，加强案例教学、模拟训练等教学方法的运用，重视案例编写，提高案例质量；加强师资培训与交流，开展案例教学研究；完善案例教学评价标准，建立案例教学激励机制；整合案例资源，探索建立案例库共享机制；加强开放合作，促进案例教学国际化。完善课程教学评价标准，转变课程考核方式，注重培养过程考核和能力考核，着重考察研究生运用所学基本知识和技能解决实际问题的能力和水平。构建研究生课程学习支持体系，满足个性化发展需求。</w:t>
      </w:r>
    </w:p>
    <w:p>
      <w:pPr>
        <w:widowControl/>
        <w:shd w:val="clear" w:color="auto" w:fill="FFFFFF"/>
        <w:spacing w:line="360" w:lineRule="auto"/>
        <w:ind w:firstLine="570"/>
        <w:jc w:val="left"/>
        <w:rPr>
          <w:rFonts w:ascii="仿宋" w:hAnsi="仿宋" w:eastAsia="仿宋" w:cs="宋体"/>
          <w:color w:val="000000" w:themeColor="text1"/>
          <w:kern w:val="0"/>
          <w:sz w:val="28"/>
          <w:szCs w:val="28"/>
        </w:rPr>
      </w:pPr>
      <w:r>
        <w:rPr>
          <w:rFonts w:hint="eastAsia" w:ascii="仿宋" w:hAnsi="仿宋" w:eastAsia="仿宋"/>
          <w:sz w:val="28"/>
          <w:szCs w:val="28"/>
        </w:rPr>
        <w:t>9.（共同五）共同开展实践教育。</w:t>
      </w:r>
      <w:r>
        <w:rPr>
          <w:rFonts w:hint="eastAsia" w:ascii="仿宋" w:hAnsi="仿宋" w:eastAsia="仿宋" w:cs="宋体"/>
          <w:color w:val="000000" w:themeColor="text1"/>
          <w:kern w:val="0"/>
          <w:sz w:val="28"/>
          <w:szCs w:val="28"/>
        </w:rPr>
        <w:t>积极联合相关行业企业，建立一批稳定的专业学位研究生培养实践基地。建立健全实践基地标准体系、管理体系和运行机制，明晰各方责任权利，规范基地管理，争创示范性实践基地。明确研究生实践内容和要求，健全实践管理办法，加强实践考核评价，保证实践质量。促进实践与课程教学和学位论文工作的紧密结合，注重在实践中培养研究生解决实际问题的意识和能力。</w:t>
      </w:r>
    </w:p>
    <w:p>
      <w:pPr>
        <w:widowControl/>
        <w:shd w:val="clear" w:color="auto" w:fill="FFFFFF"/>
        <w:spacing w:line="360" w:lineRule="auto"/>
        <w:ind w:firstLine="570"/>
        <w:jc w:val="left"/>
        <w:rPr>
          <w:rFonts w:ascii="仿宋" w:hAnsi="仿宋" w:eastAsia="仿宋" w:cs="宋体"/>
          <w:color w:val="000000" w:themeColor="text1"/>
          <w:kern w:val="0"/>
          <w:sz w:val="28"/>
          <w:szCs w:val="28"/>
        </w:rPr>
      </w:pPr>
      <w:r>
        <w:rPr>
          <w:rFonts w:hint="eastAsia" w:ascii="仿宋" w:hAnsi="仿宋" w:eastAsia="仿宋"/>
          <w:sz w:val="28"/>
          <w:szCs w:val="28"/>
        </w:rPr>
        <w:t>10.（共同六）共同开展专业学位论文指导和评价。</w:t>
      </w:r>
      <w:r>
        <w:rPr>
          <w:rFonts w:hint="eastAsia" w:ascii="仿宋" w:hAnsi="仿宋" w:eastAsia="仿宋" w:cs="宋体"/>
          <w:color w:val="000000" w:themeColor="text1"/>
          <w:kern w:val="0"/>
          <w:sz w:val="28"/>
          <w:szCs w:val="28"/>
        </w:rPr>
        <w:t>根据各专业学位研究生教育指导委员会意见，与行业企业共同制定专业学位论文标准，规范专业学位论文要求。专业学位论文选题应来源于应用课题或现实问题，要有明确的职业背景和行业应用价值。专业学位论文应反映研究生综合运用知识技能解决实际问题的能力和水平，可将研究报告、规划设计、产品开发、案例分析、管理方案、发明专利、文学艺术作品等作为主要内容，以论文形式表现。确保专业学位论文评阅人和答辩委员会成员中，有不少于三分之一的相关行业具有高级职称（或相当水平）的专家。</w:t>
      </w:r>
    </w:p>
    <w:p>
      <w:pPr>
        <w:widowControl/>
        <w:shd w:val="clear" w:color="auto" w:fill="FFFFFF"/>
        <w:spacing w:line="360" w:lineRule="auto"/>
        <w:ind w:firstLine="570"/>
        <w:jc w:val="left"/>
        <w:rPr>
          <w:rFonts w:ascii="仿宋" w:hAnsi="仿宋" w:eastAsia="仿宋" w:cs="宋体"/>
          <w:color w:val="000000" w:themeColor="text1"/>
          <w:kern w:val="0"/>
          <w:sz w:val="28"/>
          <w:szCs w:val="28"/>
        </w:rPr>
      </w:pPr>
      <w:r>
        <w:rPr>
          <w:rFonts w:hint="eastAsia" w:ascii="仿宋" w:hAnsi="仿宋" w:eastAsia="仿宋"/>
          <w:sz w:val="28"/>
          <w:szCs w:val="28"/>
        </w:rPr>
        <w:t>11.（共同七）共同推进与职业资格衔接。充分发挥行业企业和专业组织的作用，</w:t>
      </w:r>
      <w:r>
        <w:rPr>
          <w:rFonts w:hint="eastAsia" w:ascii="仿宋" w:hAnsi="仿宋" w:eastAsia="仿宋" w:cs="宋体"/>
          <w:color w:val="000000" w:themeColor="text1"/>
          <w:kern w:val="0"/>
          <w:sz w:val="28"/>
          <w:szCs w:val="28"/>
        </w:rPr>
        <w:t>积极推进专业学位研究生课程和实践考核与特定职业人才评价标准有机衔接，推进专业学位研究生培养内容与特定职业人才工作实际有效衔接，推进专业学位授予与获得相应职业资格有效衔接。</w:t>
      </w:r>
    </w:p>
    <w:p>
      <w:pPr>
        <w:widowControl/>
        <w:shd w:val="clear" w:color="auto" w:fill="FFFFFF"/>
        <w:spacing w:line="360" w:lineRule="auto"/>
        <w:ind w:firstLine="570"/>
        <w:jc w:val="left"/>
        <w:rPr>
          <w:rFonts w:ascii="仿宋" w:hAnsi="仿宋" w:eastAsia="仿宋" w:cs="宋体"/>
          <w:color w:val="000000" w:themeColor="text1"/>
          <w:kern w:val="0"/>
          <w:sz w:val="28"/>
          <w:szCs w:val="28"/>
        </w:rPr>
      </w:pPr>
      <w:r>
        <w:rPr>
          <w:rFonts w:hint="eastAsia" w:ascii="仿宋" w:hAnsi="仿宋" w:eastAsia="仿宋"/>
          <w:sz w:val="28"/>
          <w:szCs w:val="28"/>
        </w:rPr>
        <w:t>12.探索合作培养模式。在上述“七共同”的基础上，</w:t>
      </w:r>
      <w:r>
        <w:rPr>
          <w:rFonts w:hint="eastAsia" w:ascii="仿宋" w:hAnsi="仿宋" w:eastAsia="仿宋" w:cs="宋体"/>
          <w:color w:val="000000" w:themeColor="text1"/>
          <w:kern w:val="0"/>
          <w:sz w:val="28"/>
          <w:szCs w:val="28"/>
        </w:rPr>
        <w:t>按照“优势互补、资源共享、互利共赢、协同创新”的原则，选择具备一定条件的行业企业开展联合招生和联合培养，构建人才培养、科学研究、社会服务等多元一体的合作培养模式，提高专业学位研究生培养质量。</w:t>
      </w:r>
    </w:p>
    <w:p>
      <w:pPr>
        <w:widowControl/>
        <w:shd w:val="clear" w:color="auto" w:fill="FFFFFF"/>
        <w:spacing w:line="360" w:lineRule="auto"/>
        <w:jc w:val="left"/>
        <w:rPr>
          <w:rFonts w:ascii="仿宋" w:hAnsi="仿宋" w:eastAsia="仿宋" w:cs="宋体"/>
          <w:color w:val="000000" w:themeColor="text1"/>
          <w:kern w:val="0"/>
          <w:sz w:val="28"/>
          <w:szCs w:val="28"/>
        </w:rPr>
      </w:pPr>
      <w:r>
        <w:rPr>
          <w:rFonts w:hint="eastAsia" w:ascii="仿宋" w:hAnsi="仿宋" w:eastAsia="仿宋"/>
          <w:sz w:val="28"/>
          <w:szCs w:val="28"/>
        </w:rPr>
        <w:t xml:space="preserve">    13.坚持立德树人，加强以爱国主义教育为核心的民族精神和以创新创业为核心的时代精神教育，加强中国特色社会主义理论体系教育，增强研究生的国家意识、法治意识、社会责任感和工匠精神。将社会实践和职业伦理教育纳入培养方案，广泛开展社会实践和志愿者服务活动，支持研究生开展自主创业和社会服务。加强研究生心理健康教育和咨询服务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（四）加强教师队伍建设</w:t>
      </w:r>
    </w:p>
    <w:p>
      <w:pPr>
        <w:widowControl/>
        <w:shd w:val="clear" w:color="auto" w:fill="FFFFFF"/>
        <w:spacing w:line="360" w:lineRule="auto"/>
        <w:jc w:val="left"/>
        <w:rPr>
          <w:rFonts w:ascii="仿宋" w:hAnsi="仿宋" w:eastAsia="仿宋" w:cs="宋体"/>
          <w:color w:val="000000" w:themeColor="text1"/>
          <w:kern w:val="0"/>
          <w:sz w:val="28"/>
          <w:szCs w:val="28"/>
        </w:rPr>
      </w:pPr>
      <w:r>
        <w:rPr>
          <w:rFonts w:hint="eastAsia" w:ascii="微软雅黑" w:hAnsi="微软雅黑" w:eastAsia="微软雅黑" w:cs="宋体"/>
          <w:color w:val="000000" w:themeColor="text1"/>
          <w:kern w:val="0"/>
          <w:sz w:val="27"/>
          <w:szCs w:val="27"/>
        </w:rPr>
        <w:t xml:space="preserve">    </w:t>
      </w:r>
      <w:r>
        <w:rPr>
          <w:rFonts w:hint="eastAsia" w:ascii="仿宋" w:hAnsi="仿宋" w:eastAsia="仿宋"/>
          <w:sz w:val="28"/>
          <w:szCs w:val="28"/>
        </w:rPr>
        <w:t>14.</w:t>
      </w:r>
      <w:r>
        <w:rPr>
          <w:rFonts w:hint="eastAsia" w:ascii="仿宋" w:hAnsi="仿宋" w:eastAsia="仿宋" w:cs="宋体"/>
          <w:color w:val="000000" w:themeColor="text1"/>
          <w:kern w:val="0"/>
          <w:sz w:val="28"/>
          <w:szCs w:val="28"/>
        </w:rPr>
        <w:t>根据不同专业学位类别特点</w:t>
      </w:r>
      <w:r>
        <w:rPr>
          <w:rFonts w:hint="eastAsia" w:ascii="仿宋" w:hAnsi="仿宋" w:eastAsia="仿宋"/>
          <w:sz w:val="28"/>
          <w:szCs w:val="28"/>
        </w:rPr>
        <w:t>，“人有我特” 的错位发展思路，</w:t>
      </w:r>
      <w:r>
        <w:rPr>
          <w:rFonts w:hint="eastAsia" w:ascii="仿宋" w:hAnsi="仿宋" w:eastAsia="仿宋" w:cs="宋体"/>
          <w:color w:val="000000" w:themeColor="text1"/>
          <w:kern w:val="0"/>
          <w:sz w:val="28"/>
          <w:szCs w:val="28"/>
        </w:rPr>
        <w:t>聘请相关专业领域专家、实践经验丰富的行业企业专家及国（境）外专家，组建由校内教师和校外实践教师两支队伍构成的专业化、“双师化”的教学团队。</w:t>
      </w:r>
    </w:p>
    <w:p>
      <w:pPr>
        <w:spacing w:line="360" w:lineRule="auto"/>
        <w:ind w:firstLine="560" w:firstLineChars="200"/>
        <w:rPr>
          <w:rFonts w:ascii="仿宋" w:hAnsi="仿宋" w:eastAsia="仿宋" w:cs="宋体"/>
          <w:color w:val="000000" w:themeColor="text1"/>
          <w:kern w:val="0"/>
          <w:sz w:val="28"/>
          <w:szCs w:val="28"/>
        </w:rPr>
      </w:pPr>
      <w:r>
        <w:rPr>
          <w:rFonts w:hint="eastAsia" w:ascii="仿宋" w:hAnsi="仿宋" w:eastAsia="仿宋"/>
          <w:sz w:val="28"/>
          <w:szCs w:val="28"/>
        </w:rPr>
        <w:t>15.</w:t>
      </w:r>
      <w:r>
        <w:rPr>
          <w:rFonts w:hint="eastAsia" w:ascii="仿宋" w:hAnsi="仿宋" w:eastAsia="仿宋" w:cs="宋体"/>
          <w:color w:val="000000" w:themeColor="text1"/>
          <w:kern w:val="0"/>
          <w:sz w:val="28"/>
          <w:szCs w:val="28"/>
        </w:rPr>
        <w:t>按照专业学位研究生教育的特点和培养目标，制订研究生导师的评定和聘任条件，强化和完善导师负责制。</w:t>
      </w:r>
      <w:r>
        <w:rPr>
          <w:rFonts w:hint="eastAsia" w:ascii="仿宋" w:hAnsi="仿宋" w:eastAsia="仿宋"/>
          <w:sz w:val="28"/>
          <w:szCs w:val="28"/>
        </w:rPr>
        <w:t>建立教师从事专业学位研究生教育的激励与约束机制，</w:t>
      </w:r>
      <w:r>
        <w:rPr>
          <w:rFonts w:hint="eastAsia" w:ascii="仿宋" w:hAnsi="仿宋" w:eastAsia="仿宋" w:cs="宋体"/>
          <w:color w:val="000000" w:themeColor="text1"/>
          <w:kern w:val="0"/>
          <w:sz w:val="28"/>
          <w:szCs w:val="28"/>
        </w:rPr>
        <w:t>逐步形成稳定的专业学位研究生导师队伍。建立教学交流和新任导师培训制度，支持导师合作开发、开设课程，支持导师国内外访学交流和参与行业企业实践。加强师德师风建设，健全研究生导师工作规范，引导教师潜心教书育人，发挥导师对研究生思想品德、科学伦理、创新创业的示范和教育作用。</w:t>
      </w:r>
      <w:r>
        <w:rPr>
          <w:rFonts w:hint="eastAsia" w:ascii="仿宋" w:hAnsi="仿宋" w:eastAsia="仿宋"/>
          <w:sz w:val="28"/>
          <w:szCs w:val="28"/>
        </w:rPr>
        <w:t>创造条件吸引具有丰富实践经验的教师投身于专业学位研究生教育。</w:t>
      </w:r>
    </w:p>
    <w:p>
      <w:pPr>
        <w:spacing w:line="360" w:lineRule="auto"/>
        <w:ind w:firstLine="560" w:firstLineChars="200"/>
        <w:rPr>
          <w:rFonts w:ascii="仿宋" w:hAnsi="仿宋" w:eastAsia="仿宋" w:cs="宋体"/>
          <w:color w:val="000000" w:themeColor="text1"/>
          <w:kern w:val="0"/>
          <w:sz w:val="28"/>
          <w:szCs w:val="28"/>
        </w:rPr>
      </w:pPr>
      <w:r>
        <w:rPr>
          <w:rFonts w:hint="eastAsia" w:ascii="仿宋" w:hAnsi="仿宋" w:eastAsia="仿宋"/>
          <w:sz w:val="28"/>
          <w:szCs w:val="28"/>
        </w:rPr>
        <w:t>16.</w:t>
      </w:r>
      <w:r>
        <w:rPr>
          <w:rFonts w:hint="eastAsia" w:ascii="仿宋" w:hAnsi="仿宋" w:eastAsia="仿宋" w:cs="宋体"/>
          <w:color w:val="000000" w:themeColor="text1"/>
          <w:kern w:val="0"/>
          <w:sz w:val="28"/>
          <w:szCs w:val="28"/>
        </w:rPr>
        <w:t>实行校内外双导师制，以校内导师指导为主，重视发挥校外导师作用。根据不同专业学位类别特点，探索导师组制，组建由相关专业领域专家和行业企业专家组成的导师团队共同指导研究生。</w:t>
      </w:r>
    </w:p>
    <w:p>
      <w:pPr>
        <w:widowControl/>
        <w:shd w:val="clear" w:color="auto" w:fill="FFFFFF"/>
        <w:spacing w:line="360" w:lineRule="auto"/>
        <w:jc w:val="left"/>
        <w:rPr>
          <w:rFonts w:ascii="仿宋" w:hAnsi="仿宋" w:eastAsia="仿宋"/>
          <w:sz w:val="28"/>
          <w:szCs w:val="28"/>
        </w:rPr>
      </w:pPr>
      <w:r>
        <w:rPr>
          <w:rFonts w:hint="eastAsia" w:ascii="仿宋" w:hAnsi="仿宋" w:eastAsia="仿宋" w:cs="宋体"/>
          <w:color w:val="000000" w:themeColor="text1"/>
          <w:kern w:val="0"/>
          <w:sz w:val="28"/>
          <w:szCs w:val="28"/>
        </w:rPr>
        <w:t xml:space="preserve">    </w:t>
      </w:r>
      <w:r>
        <w:rPr>
          <w:rFonts w:hint="eastAsia" w:ascii="仿宋" w:hAnsi="仿宋" w:eastAsia="仿宋"/>
          <w:sz w:val="28"/>
          <w:szCs w:val="28"/>
        </w:rPr>
        <w:t>17.</w:t>
      </w:r>
      <w:r>
        <w:rPr>
          <w:rFonts w:hint="eastAsia" w:ascii="仿宋" w:hAnsi="仿宋" w:eastAsia="仿宋" w:cs="宋体"/>
          <w:color w:val="000000" w:themeColor="text1"/>
          <w:kern w:val="0"/>
          <w:sz w:val="28"/>
          <w:szCs w:val="28"/>
        </w:rPr>
        <w:t>完善教师考核评价体系，突出育人责任。根据专业学位研究生教育特点，科学合理制定考核评价标准。</w:t>
      </w:r>
      <w:r>
        <w:rPr>
          <w:rFonts w:hint="eastAsia" w:ascii="仿宋" w:hAnsi="仿宋" w:eastAsia="仿宋" w:cs="宋体"/>
          <w:kern w:val="0"/>
          <w:sz w:val="28"/>
          <w:szCs w:val="28"/>
        </w:rPr>
        <w:t>强化校内教师自身具备行业职业任职资格要求。以上海高校青年教师专业发展</w:t>
      </w:r>
      <w:r>
        <w:rPr>
          <w:rFonts w:hint="eastAsia" w:ascii="仿宋" w:hAnsi="仿宋" w:eastAsia="仿宋" w:cs="宋体"/>
          <w:color w:val="000000" w:themeColor="text1"/>
          <w:kern w:val="0"/>
          <w:sz w:val="28"/>
          <w:szCs w:val="28"/>
        </w:rPr>
        <w:t>工程践习计划、强师工程为基础，选派青年教师到企业或相关行业单位兼职、挂职，提高实践教学能力，将青年教师参加企业践习经历作为专业学位导师聘任的优先条件，并纳入教育教学考核指标中。</w:t>
      </w:r>
      <w:r>
        <w:rPr>
          <w:rFonts w:hint="eastAsia" w:ascii="仿宋" w:hAnsi="仿宋" w:eastAsia="仿宋"/>
          <w:sz w:val="28"/>
          <w:szCs w:val="28"/>
        </w:rPr>
        <w:t>在评奖评优、出国进修等工作中优先考虑从事专业学位研究生教育的教师，鼓励教师与企业开展合作，用好专业学位研究生教育实践基地，积极开展产学研合作。</w:t>
      </w:r>
      <w:r>
        <w:rPr>
          <w:rFonts w:hint="eastAsia" w:ascii="仿宋" w:hAnsi="仿宋" w:eastAsia="仿宋" w:cs="宋体"/>
          <w:color w:val="000000" w:themeColor="text1"/>
          <w:kern w:val="0"/>
          <w:sz w:val="28"/>
          <w:szCs w:val="28"/>
        </w:rPr>
        <w:t>将优秀教学案例、教材编写、行业服务等教学、实践、服务成果等纳入专业学位教师考核评价体系。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（五）开展国际化合作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18.对接“一带一路”等国家对外开放战略和上海建设科创中心需要，树立开放合作共赢理念，坚持引进来和走出去相结合，积极引进国际先进的专业学位研究生教育新理念、优质的课程体系和科学的研究生教育管理经验，注重对国际教育资源的吸收、消化。充分利用学校与海外高校的交流合作，探索“联合培养”“双学位”项目，推动校际之间开展研究生课程合作建设、联合授课、学分和学位互认。推动特定类别专业学位与国际职业资格认证有效衔接。多形式、全方位搭建国际交流合作平台，鼓励教师开展国际交流，增强教师能力与水平。积极推动学生出境学习、研修、游学或实习，培养一批具有国际视野与跨文化交流能力，通晓国际规则、能够参与国际事务和国际竞争的高层次专门人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（六）完善质量保障体系</w:t>
      </w:r>
    </w:p>
    <w:p>
      <w:pPr>
        <w:spacing w:line="360" w:lineRule="auto"/>
        <w:ind w:firstLine="560" w:firstLineChars="200"/>
        <w:rPr>
          <w:rFonts w:ascii="仿宋" w:hAnsi="仿宋" w:eastAsia="仿宋"/>
          <w:sz w:val="28"/>
          <w:szCs w:val="28"/>
        </w:rPr>
      </w:pPr>
      <w:r>
        <w:rPr>
          <w:rFonts w:hint="eastAsia" w:ascii="仿宋" w:hAnsi="仿宋" w:eastAsia="仿宋" w:cs="宋体"/>
          <w:color w:val="000000" w:themeColor="text1"/>
          <w:kern w:val="0"/>
          <w:sz w:val="28"/>
          <w:szCs w:val="28"/>
        </w:rPr>
        <w:t>19.</w:t>
      </w:r>
      <w:r>
        <w:rPr>
          <w:rFonts w:hint="eastAsia" w:ascii="微软雅黑" w:hAnsi="微软雅黑" w:eastAsia="微软雅黑"/>
          <w:color w:val="333333"/>
          <w:szCs w:val="21"/>
        </w:rPr>
        <w:t xml:space="preserve"> </w:t>
      </w:r>
      <w:r>
        <w:rPr>
          <w:rFonts w:hint="eastAsia" w:ascii="仿宋" w:hAnsi="仿宋" w:eastAsia="仿宋" w:cs="宋体"/>
          <w:color w:val="000000" w:themeColor="text1"/>
          <w:kern w:val="0"/>
          <w:sz w:val="28"/>
          <w:szCs w:val="28"/>
        </w:rPr>
        <w:t>完善校内质量监督机制，建立招生、培养、学位授予等全过程质量保障制度。根据专业学位类别，分别设立培养指导委员会，负责指导、规范本单位专</w:t>
      </w:r>
      <w:r>
        <w:rPr>
          <w:rFonts w:hint="eastAsia" w:ascii="仿宋" w:hAnsi="仿宋" w:eastAsia="仿宋" w:cs="宋体"/>
          <w:kern w:val="0"/>
          <w:sz w:val="28"/>
          <w:szCs w:val="28"/>
        </w:rPr>
        <w:t>业学位研究生培养工作。委员会中应有一定比例来自行业企业的专家。</w:t>
      </w:r>
      <w:r>
        <w:rPr>
          <w:rFonts w:hint="eastAsia" w:ascii="仿宋" w:hAnsi="仿宋" w:eastAsia="仿宋"/>
          <w:sz w:val="28"/>
          <w:szCs w:val="28"/>
        </w:rPr>
        <w:t>注重多元评价，完善多层次教学质量保障体系。以学生学习成效评价为基础建立课程改善与专业人才培养方案循环改善制度。形成集两级质保、雇主调查、校友调查、在校生调查、课程评价、督导检查、学位点评估等一体的校内教学质量保障体系。</w:t>
      </w:r>
      <w:r>
        <w:rPr>
          <w:rFonts w:hint="eastAsia" w:ascii="仿宋" w:hAnsi="仿宋" w:eastAsia="仿宋" w:cs="宋体"/>
          <w:kern w:val="0"/>
          <w:sz w:val="28"/>
          <w:szCs w:val="28"/>
        </w:rPr>
        <w:t>加强专业学位毕业生就业质量和职业发展跟踪，</w:t>
      </w:r>
      <w:r>
        <w:rPr>
          <w:rFonts w:hint="eastAsia" w:ascii="仿宋" w:hAnsi="仿宋" w:eastAsia="仿宋"/>
          <w:sz w:val="28"/>
          <w:szCs w:val="28"/>
        </w:rPr>
        <w:t>注重对学校数据的统计分析与应用，形成人才培养的持续改进机制，形成“五注重”的质量保障机制。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（七）进一步做好联合培养硕士专业学位研究生工作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20. 继续做好与东华大学、上海海洋大学联合培养专业学位研究生工作，带动学校研究生招生、培养、管理一条龙管理体制机制的建立与完善，带动学校做好专业学位硕士指导教师队伍的建设</w:t>
      </w:r>
      <w:r>
        <w:rPr>
          <w:rFonts w:hint="eastAsia" w:ascii="仿宋" w:hAnsi="仿宋" w:eastAsia="仿宋" w:cs="宋体"/>
          <w:color w:val="000000" w:themeColor="text1"/>
          <w:kern w:val="0"/>
          <w:sz w:val="28"/>
          <w:szCs w:val="28"/>
        </w:rPr>
        <w:t>。</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六、保障措施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1.组织保障</w:t>
      </w:r>
    </w:p>
    <w:p>
      <w:pPr>
        <w:snapToGrid w:val="0"/>
        <w:spacing w:line="360" w:lineRule="auto"/>
        <w:ind w:firstLine="585" w:firstLineChars="209"/>
        <w:rPr>
          <w:rFonts w:ascii="仿宋" w:hAnsi="仿宋" w:eastAsia="仿宋"/>
          <w:sz w:val="28"/>
          <w:szCs w:val="28"/>
        </w:rPr>
      </w:pPr>
      <w:r>
        <w:rPr>
          <w:rFonts w:hint="eastAsia" w:ascii="仿宋" w:hAnsi="仿宋" w:eastAsia="仿宋"/>
          <w:sz w:val="28"/>
          <w:szCs w:val="28"/>
        </w:rPr>
        <w:t>学校设置研究生处（部），在学校分管校长的领导下，负责全校的研究生教育管理工作，并下设招生、培养、管理、学位、就业等科室。各相关二级学院</w:t>
      </w:r>
      <w:r>
        <w:rPr>
          <w:rFonts w:ascii="仿宋" w:hAnsi="仿宋" w:eastAsia="仿宋"/>
          <w:sz w:val="28"/>
          <w:szCs w:val="28"/>
        </w:rPr>
        <w:t>成立专业学位</w:t>
      </w:r>
      <w:r>
        <w:rPr>
          <w:rFonts w:hint="eastAsia" w:ascii="仿宋" w:hAnsi="仿宋" w:eastAsia="仿宋"/>
          <w:sz w:val="28"/>
          <w:szCs w:val="28"/>
        </w:rPr>
        <w:t>研究生</w:t>
      </w:r>
      <w:r>
        <w:rPr>
          <w:rFonts w:ascii="仿宋" w:hAnsi="仿宋" w:eastAsia="仿宋"/>
          <w:sz w:val="28"/>
          <w:szCs w:val="28"/>
        </w:rPr>
        <w:t>教育</w:t>
      </w:r>
      <w:r>
        <w:rPr>
          <w:rFonts w:hint="eastAsia" w:ascii="仿宋" w:hAnsi="仿宋" w:eastAsia="仿宋"/>
          <w:sz w:val="28"/>
          <w:szCs w:val="28"/>
        </w:rPr>
        <w:t>管理</w:t>
      </w:r>
      <w:r>
        <w:rPr>
          <w:rFonts w:ascii="仿宋" w:hAnsi="仿宋" w:eastAsia="仿宋"/>
          <w:sz w:val="28"/>
          <w:szCs w:val="28"/>
        </w:rPr>
        <w:t>中心，</w:t>
      </w:r>
      <w:r>
        <w:rPr>
          <w:rFonts w:hint="eastAsia" w:ascii="仿宋" w:hAnsi="仿宋" w:eastAsia="仿宋"/>
          <w:sz w:val="28"/>
          <w:szCs w:val="28"/>
        </w:rPr>
        <w:t>设置</w:t>
      </w:r>
      <w:r>
        <w:rPr>
          <w:rFonts w:ascii="仿宋" w:hAnsi="仿宋" w:eastAsia="仿宋"/>
          <w:sz w:val="28"/>
          <w:szCs w:val="28"/>
        </w:rPr>
        <w:t>专职人员</w:t>
      </w:r>
      <w:r>
        <w:rPr>
          <w:rFonts w:hint="eastAsia" w:ascii="仿宋" w:hAnsi="仿宋" w:eastAsia="仿宋"/>
          <w:sz w:val="28"/>
          <w:szCs w:val="28"/>
        </w:rPr>
        <w:t>，具体</w:t>
      </w:r>
      <w:r>
        <w:rPr>
          <w:rFonts w:ascii="仿宋" w:hAnsi="仿宋" w:eastAsia="仿宋"/>
          <w:sz w:val="28"/>
          <w:szCs w:val="28"/>
        </w:rPr>
        <w:t>负责专业学位研究生</w:t>
      </w:r>
      <w:r>
        <w:rPr>
          <w:rFonts w:hint="eastAsia" w:ascii="仿宋" w:hAnsi="仿宋" w:eastAsia="仿宋"/>
          <w:sz w:val="28"/>
          <w:szCs w:val="28"/>
        </w:rPr>
        <w:t>日常</w:t>
      </w:r>
      <w:r>
        <w:rPr>
          <w:rFonts w:ascii="仿宋" w:hAnsi="仿宋" w:eastAsia="仿宋"/>
          <w:sz w:val="28"/>
          <w:szCs w:val="28"/>
        </w:rPr>
        <w:t>教育和管理工作</w:t>
      </w:r>
      <w:r>
        <w:rPr>
          <w:rFonts w:hint="eastAsia" w:ascii="仿宋" w:hAnsi="仿宋" w:eastAsia="仿宋"/>
          <w:sz w:val="28"/>
          <w:szCs w:val="28"/>
        </w:rPr>
        <w:t>。</w:t>
      </w:r>
    </w:p>
    <w:p>
      <w:pPr>
        <w:snapToGrid w:val="0"/>
        <w:spacing w:line="360" w:lineRule="auto"/>
        <w:ind w:firstLine="585" w:firstLineChars="209"/>
        <w:rPr>
          <w:rFonts w:ascii="仿宋" w:hAnsi="仿宋" w:eastAsia="仿宋"/>
          <w:sz w:val="28"/>
          <w:szCs w:val="28"/>
        </w:rPr>
      </w:pPr>
      <w:r>
        <w:rPr>
          <w:rFonts w:hint="eastAsia" w:ascii="仿宋" w:hAnsi="仿宋" w:eastAsia="仿宋"/>
          <w:sz w:val="28"/>
          <w:szCs w:val="28"/>
        </w:rPr>
        <w:t>2.研究保障</w:t>
      </w:r>
    </w:p>
    <w:p>
      <w:pPr>
        <w:snapToGrid w:val="0"/>
        <w:spacing w:line="360" w:lineRule="auto"/>
        <w:ind w:firstLine="585" w:firstLineChars="209"/>
        <w:rPr>
          <w:rFonts w:ascii="仿宋" w:hAnsi="仿宋" w:eastAsia="仿宋"/>
          <w:sz w:val="28"/>
          <w:szCs w:val="28"/>
        </w:rPr>
      </w:pPr>
      <w:r>
        <w:rPr>
          <w:rFonts w:hint="eastAsia" w:ascii="仿宋" w:hAnsi="仿宋" w:eastAsia="仿宋"/>
          <w:sz w:val="28"/>
          <w:szCs w:val="28"/>
        </w:rPr>
        <w:t>发挥学校民办高等教育研究所的优势，加强对专业学位研究生教育特点和规律的研究，探索具有我校特色的专业学位研究生教育，提高我校专业学位研究生教育水平和管理水平；积极学习借鉴国内外专业学位研究生教育的成功经验。</w:t>
      </w:r>
    </w:p>
    <w:p>
      <w:pPr>
        <w:snapToGrid w:val="0"/>
        <w:spacing w:line="360" w:lineRule="auto"/>
        <w:ind w:firstLine="585" w:firstLineChars="209"/>
        <w:rPr>
          <w:rFonts w:ascii="仿宋" w:hAnsi="仿宋" w:eastAsia="仿宋"/>
          <w:sz w:val="28"/>
          <w:szCs w:val="28"/>
        </w:rPr>
      </w:pPr>
      <w:r>
        <w:rPr>
          <w:rFonts w:hint="eastAsia" w:ascii="仿宋" w:hAnsi="仿宋" w:eastAsia="仿宋"/>
          <w:sz w:val="28"/>
          <w:szCs w:val="28"/>
        </w:rPr>
        <w:t>3.制度保障</w:t>
      </w:r>
    </w:p>
    <w:p>
      <w:pPr>
        <w:snapToGrid w:val="0"/>
        <w:spacing w:line="360" w:lineRule="auto"/>
        <w:ind w:firstLine="585" w:firstLineChars="209"/>
        <w:rPr>
          <w:rFonts w:ascii="仿宋" w:hAnsi="仿宋" w:eastAsia="仿宋"/>
          <w:sz w:val="28"/>
          <w:szCs w:val="28"/>
        </w:rPr>
      </w:pPr>
      <w:r>
        <w:rPr>
          <w:rFonts w:ascii="仿宋" w:hAnsi="仿宋" w:eastAsia="仿宋"/>
          <w:sz w:val="28"/>
          <w:szCs w:val="28"/>
        </w:rPr>
        <w:t>建立健全</w:t>
      </w:r>
      <w:r>
        <w:rPr>
          <w:rFonts w:hint="eastAsia" w:ascii="仿宋" w:hAnsi="仿宋" w:eastAsia="仿宋"/>
          <w:sz w:val="28"/>
          <w:szCs w:val="28"/>
        </w:rPr>
        <w:t>专业学位研究生教育工作的</w:t>
      </w:r>
      <w:r>
        <w:rPr>
          <w:rFonts w:ascii="仿宋" w:hAnsi="仿宋" w:eastAsia="仿宋"/>
          <w:sz w:val="28"/>
          <w:szCs w:val="28"/>
        </w:rPr>
        <w:t>各项规章制度，强化在招生、培养、学位授予等各个环节的过程管理，不断推进专业学位硕士研究生教育的规范化发展，保</w:t>
      </w:r>
      <w:r>
        <w:rPr>
          <w:rFonts w:hint="eastAsia" w:ascii="仿宋" w:hAnsi="仿宋" w:eastAsia="仿宋"/>
          <w:sz w:val="28"/>
          <w:szCs w:val="28"/>
        </w:rPr>
        <w:t>障</w:t>
      </w:r>
      <w:r>
        <w:rPr>
          <w:rFonts w:ascii="仿宋" w:hAnsi="仿宋" w:eastAsia="仿宋"/>
          <w:sz w:val="28"/>
          <w:szCs w:val="28"/>
        </w:rPr>
        <w:t>专业学位研究生的培养质量。</w:t>
      </w:r>
    </w:p>
    <w:p>
      <w:pPr>
        <w:snapToGrid w:val="0"/>
        <w:spacing w:line="360" w:lineRule="auto"/>
        <w:ind w:firstLine="585" w:firstLineChars="209"/>
        <w:rPr>
          <w:rFonts w:ascii="仿宋" w:hAnsi="仿宋" w:eastAsia="仿宋"/>
          <w:sz w:val="28"/>
          <w:szCs w:val="28"/>
        </w:rPr>
      </w:pPr>
      <w:r>
        <w:rPr>
          <w:rFonts w:hint="eastAsia" w:ascii="仿宋" w:hAnsi="仿宋" w:eastAsia="仿宋"/>
          <w:sz w:val="28"/>
          <w:szCs w:val="28"/>
        </w:rPr>
        <w:t>4.经费保障</w:t>
      </w:r>
    </w:p>
    <w:p>
      <w:pPr>
        <w:snapToGrid w:val="0"/>
        <w:spacing w:line="360" w:lineRule="auto"/>
        <w:ind w:firstLine="585" w:firstLineChars="209"/>
        <w:rPr>
          <w:rFonts w:ascii="仿宋" w:hAnsi="仿宋" w:eastAsia="仿宋"/>
          <w:sz w:val="28"/>
          <w:szCs w:val="28"/>
        </w:rPr>
      </w:pPr>
      <w:r>
        <w:rPr>
          <w:rFonts w:hint="eastAsia" w:ascii="仿宋" w:hAnsi="仿宋" w:eastAsia="仿宋"/>
          <w:sz w:val="28"/>
          <w:szCs w:val="28"/>
        </w:rPr>
        <w:t>统筹教学和研究资源，设立研究生教育专项，加大经费投入，用于教师队伍建设、专业学位研究生教育研究、教学基础设施建设和校外基地建设、研究生奖助贷等，保障研究生教育工作的顺利开展。</w:t>
      </w:r>
    </w:p>
    <w:p>
      <w:pPr>
        <w:spacing w:line="360" w:lineRule="auto"/>
        <w:jc w:val="center"/>
        <w:rPr>
          <w:rFonts w:ascii="黑体" w:eastAsia="黑体"/>
          <w:sz w:val="28"/>
          <w:szCs w:val="28"/>
        </w:rPr>
      </w:pPr>
    </w:p>
    <w:p>
      <w:pPr>
        <w:spacing w:afterLines="50" w:line="360" w:lineRule="auto"/>
        <w:rPr>
          <w:rFonts w:ascii="黑体" w:eastAsia="黑体"/>
          <w:sz w:val="24"/>
        </w:rPr>
      </w:pPr>
      <w:r>
        <w:rPr>
          <w:rFonts w:hint="eastAsia" w:ascii="黑体" w:eastAsia="黑体"/>
          <w:sz w:val="24"/>
        </w:rPr>
        <w:t xml:space="preserve">附表一        </w:t>
      </w:r>
      <w:r>
        <w:rPr>
          <w:rFonts w:hint="eastAsia" w:ascii="仿宋" w:hAnsi="仿宋" w:eastAsia="仿宋"/>
          <w:b/>
          <w:sz w:val="24"/>
        </w:rPr>
        <w:t>“十三五”期间专业学位授权点规模与结构</w:t>
      </w:r>
    </w:p>
    <w:tbl>
      <w:tblPr>
        <w:tblStyle w:val="1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126"/>
        <w:gridCol w:w="212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blHeader/>
        </w:trPr>
        <w:tc>
          <w:tcPr>
            <w:tcW w:w="1985" w:type="dxa"/>
          </w:tcPr>
          <w:p>
            <w:pPr>
              <w:spacing w:beforeLines="50" w:line="220" w:lineRule="exact"/>
              <w:jc w:val="center"/>
              <w:rPr>
                <w:rFonts w:ascii="黑体" w:hAnsi="宋体" w:eastAsia="黑体"/>
                <w:b/>
                <w:kern w:val="0"/>
                <w:sz w:val="20"/>
                <w:szCs w:val="21"/>
              </w:rPr>
            </w:pPr>
            <w:r>
              <w:rPr>
                <w:rFonts w:ascii="黑体" w:hAnsi="宋体" w:eastAsia="黑体"/>
                <w:b/>
                <w:kern w:val="0"/>
                <w:sz w:val="20"/>
                <w:szCs w:val="21"/>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1270</wp:posOffset>
                      </wp:positionV>
                      <wp:extent cx="1250950" cy="609600"/>
                      <wp:effectExtent l="1905" t="4445" r="4445" b="14605"/>
                      <wp:wrapNone/>
                      <wp:docPr id="1" name="自选图形 2"/>
                      <wp:cNvGraphicFramePr/>
                      <a:graphic xmlns:a="http://schemas.openxmlformats.org/drawingml/2006/main">
                        <a:graphicData uri="http://schemas.microsoft.com/office/word/2010/wordprocessingShape">
                          <wps:wsp>
                            <wps:cNvCnPr/>
                            <wps:spPr>
                              <a:xfrm>
                                <a:off x="0" y="0"/>
                                <a:ext cx="1250950" cy="6096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4.9pt;margin-top:0.1pt;height:48pt;width:98.5pt;z-index:251658240;mso-width-relative:page;mso-height-relative:page;" filled="f" stroked="t" coordsize="21600,21600" o:gfxdata="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hwxeXVAAAABgEAAA8AAAAA&#10;AAAAAQAgAAAAIgAAAGRycy9kb3ducmV2LnhtbFBLAQIUABQAAAAIAIdO4kDV1dGT3gEAAJoDAAAO&#10;AAAAAAAAAAEAIAAAACQBAABkcnMvZTJvRG9jLnhtbFBLBQYAAAAABgAGAFkBAAB0BQAAAAA=&#10;">
                      <v:fill on="f" focussize="0,0"/>
                      <v:stroke color="#000000" joinstyle="round"/>
                      <v:imagedata o:title=""/>
                      <o:lock v:ext="edit" aspectratio="f"/>
                    </v:shape>
                  </w:pict>
                </mc:Fallback>
              </mc:AlternateContent>
            </w:r>
            <w:r>
              <w:rPr>
                <w:rFonts w:hint="eastAsia" w:ascii="黑体" w:hAnsi="宋体" w:eastAsia="黑体"/>
                <w:b/>
                <w:kern w:val="0"/>
                <w:sz w:val="20"/>
                <w:szCs w:val="21"/>
              </w:rPr>
              <w:t xml:space="preserve">         年份</w:t>
            </w:r>
          </w:p>
          <w:p>
            <w:pPr>
              <w:spacing w:line="220" w:lineRule="exact"/>
              <w:rPr>
                <w:rFonts w:ascii="黑体" w:hAnsi="宋体" w:eastAsia="黑体"/>
                <w:b/>
                <w:kern w:val="0"/>
                <w:sz w:val="20"/>
                <w:szCs w:val="21"/>
              </w:rPr>
            </w:pPr>
          </w:p>
          <w:p>
            <w:pPr>
              <w:spacing w:afterLines="50" w:line="220" w:lineRule="exact"/>
              <w:rPr>
                <w:rFonts w:ascii="黑体" w:hAnsi="宋体" w:eastAsia="黑体"/>
                <w:b/>
                <w:kern w:val="0"/>
                <w:sz w:val="20"/>
                <w:szCs w:val="21"/>
              </w:rPr>
            </w:pPr>
            <w:r>
              <w:rPr>
                <w:rFonts w:hint="eastAsia" w:ascii="黑体" w:hAnsi="宋体" w:eastAsia="黑体"/>
                <w:b/>
                <w:kern w:val="0"/>
                <w:sz w:val="20"/>
                <w:szCs w:val="21"/>
              </w:rPr>
              <w:t>专业类别</w:t>
            </w:r>
          </w:p>
        </w:tc>
        <w:tc>
          <w:tcPr>
            <w:tcW w:w="2126" w:type="dxa"/>
            <w:vAlign w:val="center"/>
          </w:tcPr>
          <w:p>
            <w:pPr>
              <w:spacing w:line="220" w:lineRule="exact"/>
              <w:jc w:val="center"/>
              <w:rPr>
                <w:rFonts w:ascii="黑体" w:hAnsi="宋体" w:eastAsia="黑体"/>
                <w:kern w:val="0"/>
                <w:sz w:val="20"/>
                <w:szCs w:val="21"/>
              </w:rPr>
            </w:pPr>
            <w:r>
              <w:rPr>
                <w:rFonts w:hint="eastAsia" w:ascii="黑体" w:hAnsi="宋体" w:eastAsia="黑体"/>
                <w:kern w:val="0"/>
                <w:sz w:val="20"/>
                <w:szCs w:val="21"/>
              </w:rPr>
              <w:t>2018</w:t>
            </w:r>
          </w:p>
        </w:tc>
        <w:tc>
          <w:tcPr>
            <w:tcW w:w="2126" w:type="dxa"/>
            <w:vAlign w:val="center"/>
          </w:tcPr>
          <w:p>
            <w:pPr>
              <w:spacing w:line="220" w:lineRule="exact"/>
              <w:jc w:val="center"/>
              <w:rPr>
                <w:rFonts w:ascii="黑体" w:hAnsi="宋体" w:eastAsia="黑体"/>
                <w:kern w:val="0"/>
                <w:sz w:val="20"/>
                <w:szCs w:val="21"/>
              </w:rPr>
            </w:pPr>
            <w:r>
              <w:rPr>
                <w:rFonts w:hint="eastAsia" w:ascii="黑体" w:hAnsi="宋体" w:eastAsia="黑体"/>
                <w:kern w:val="0"/>
                <w:sz w:val="20"/>
                <w:szCs w:val="21"/>
              </w:rPr>
              <w:t>2019</w:t>
            </w:r>
          </w:p>
        </w:tc>
        <w:tc>
          <w:tcPr>
            <w:tcW w:w="2127" w:type="dxa"/>
            <w:vAlign w:val="center"/>
          </w:tcPr>
          <w:p>
            <w:pPr>
              <w:spacing w:line="220" w:lineRule="exact"/>
              <w:ind w:left="6" w:hanging="6" w:hangingChars="3"/>
              <w:jc w:val="center"/>
              <w:rPr>
                <w:rFonts w:ascii="黑体" w:hAnsi="宋体" w:eastAsia="黑体"/>
                <w:kern w:val="0"/>
                <w:sz w:val="20"/>
                <w:szCs w:val="21"/>
              </w:rPr>
            </w:pPr>
            <w:r>
              <w:rPr>
                <w:rFonts w:hint="eastAsia" w:ascii="黑体" w:hAnsi="宋体" w:eastAsia="黑体"/>
                <w:kern w:val="0"/>
                <w:sz w:val="2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exact"/>
        </w:trPr>
        <w:tc>
          <w:tcPr>
            <w:tcW w:w="1985" w:type="dxa"/>
          </w:tcPr>
          <w:p>
            <w:pPr>
              <w:spacing w:line="360" w:lineRule="auto"/>
              <w:jc w:val="center"/>
              <w:rPr>
                <w:rFonts w:ascii="宋体" w:hAnsi="宋体"/>
                <w:kern w:val="0"/>
                <w:sz w:val="20"/>
                <w:szCs w:val="21"/>
              </w:rPr>
            </w:pPr>
            <w:r>
              <w:rPr>
                <w:rFonts w:hint="eastAsia" w:ascii="宋体" w:hAnsi="宋体"/>
                <w:kern w:val="0"/>
                <w:sz w:val="20"/>
                <w:szCs w:val="21"/>
              </w:rPr>
              <w:t>工程（计算机技术）</w:t>
            </w: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30</w:t>
            </w: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30</w:t>
            </w:r>
          </w:p>
        </w:tc>
        <w:tc>
          <w:tcPr>
            <w:tcW w:w="2127" w:type="dxa"/>
            <w:vAlign w:val="center"/>
          </w:tcPr>
          <w:p>
            <w:pPr>
              <w:spacing w:line="360" w:lineRule="auto"/>
              <w:jc w:val="center"/>
              <w:rPr>
                <w:rFonts w:ascii="宋体" w:hAnsi="宋体"/>
                <w:kern w:val="0"/>
                <w:sz w:val="20"/>
                <w:szCs w:val="21"/>
              </w:rPr>
            </w:pPr>
            <w:r>
              <w:rPr>
                <w:rFonts w:hint="eastAsia" w:ascii="宋体" w:hAnsi="宋体"/>
                <w:kern w:val="0"/>
                <w:sz w:val="2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exact"/>
        </w:trPr>
        <w:tc>
          <w:tcPr>
            <w:tcW w:w="1985" w:type="dxa"/>
          </w:tcPr>
          <w:p>
            <w:pPr>
              <w:spacing w:line="360" w:lineRule="auto"/>
              <w:jc w:val="center"/>
              <w:rPr>
                <w:rFonts w:ascii="宋体" w:hAnsi="宋体"/>
                <w:kern w:val="0"/>
                <w:sz w:val="20"/>
                <w:szCs w:val="21"/>
              </w:rPr>
            </w:pPr>
            <w:r>
              <w:rPr>
                <w:rFonts w:hint="eastAsia" w:ascii="宋体" w:hAnsi="宋体"/>
                <w:kern w:val="0"/>
                <w:sz w:val="20"/>
                <w:szCs w:val="21"/>
              </w:rPr>
              <w:t>国际商务</w:t>
            </w:r>
          </w:p>
          <w:p>
            <w:pPr>
              <w:spacing w:line="360" w:lineRule="auto"/>
              <w:jc w:val="center"/>
              <w:rPr>
                <w:rFonts w:ascii="宋体" w:hAnsi="宋体"/>
                <w:kern w:val="0"/>
                <w:sz w:val="20"/>
                <w:szCs w:val="21"/>
              </w:rPr>
            </w:pPr>
          </w:p>
          <w:p>
            <w:pPr>
              <w:spacing w:line="360" w:lineRule="auto"/>
              <w:jc w:val="center"/>
              <w:rPr>
                <w:rFonts w:ascii="宋体" w:hAnsi="宋体"/>
                <w:kern w:val="0"/>
                <w:sz w:val="20"/>
                <w:szCs w:val="21"/>
              </w:rPr>
            </w:pP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30</w:t>
            </w: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30</w:t>
            </w:r>
          </w:p>
        </w:tc>
        <w:tc>
          <w:tcPr>
            <w:tcW w:w="2127" w:type="dxa"/>
            <w:vAlign w:val="center"/>
          </w:tcPr>
          <w:p>
            <w:pPr>
              <w:spacing w:line="360" w:lineRule="auto"/>
              <w:jc w:val="center"/>
              <w:rPr>
                <w:rFonts w:ascii="宋体" w:hAnsi="宋体"/>
                <w:kern w:val="0"/>
                <w:sz w:val="20"/>
                <w:szCs w:val="21"/>
              </w:rPr>
            </w:pPr>
            <w:r>
              <w:rPr>
                <w:rFonts w:hint="eastAsia" w:ascii="宋体" w:hAnsi="宋体"/>
                <w:kern w:val="0"/>
                <w:sz w:val="2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exact"/>
        </w:trPr>
        <w:tc>
          <w:tcPr>
            <w:tcW w:w="1985" w:type="dxa"/>
            <w:vMerge w:val="restart"/>
          </w:tcPr>
          <w:p>
            <w:pPr>
              <w:spacing w:beforeLines="50"/>
              <w:jc w:val="center"/>
              <w:rPr>
                <w:rFonts w:ascii="宋体" w:hAnsi="宋体"/>
                <w:kern w:val="0"/>
                <w:sz w:val="18"/>
                <w:szCs w:val="18"/>
              </w:rPr>
            </w:pPr>
            <w:r>
              <w:rPr>
                <w:rFonts w:hint="eastAsia" w:ascii="宋体" w:hAnsi="宋体"/>
                <w:kern w:val="0"/>
                <w:sz w:val="18"/>
                <w:szCs w:val="18"/>
              </w:rPr>
              <w:t>工程管理</w:t>
            </w:r>
          </w:p>
          <w:p>
            <w:pPr>
              <w:rPr>
                <w:rFonts w:ascii="宋体" w:hAnsi="宋体"/>
                <w:kern w:val="0"/>
                <w:sz w:val="18"/>
                <w:szCs w:val="18"/>
              </w:rPr>
            </w:pPr>
            <w:r>
              <w:rPr>
                <w:rFonts w:hint="eastAsia" w:ascii="宋体" w:hAnsi="宋体"/>
                <w:kern w:val="0"/>
                <w:sz w:val="18"/>
                <w:szCs w:val="18"/>
              </w:rPr>
              <w:t>工程（集成电路工程）</w:t>
            </w:r>
          </w:p>
          <w:p>
            <w:pPr>
              <w:jc w:val="center"/>
              <w:rPr>
                <w:rFonts w:ascii="宋体" w:hAnsi="宋体"/>
                <w:kern w:val="0"/>
                <w:sz w:val="18"/>
                <w:szCs w:val="18"/>
              </w:rPr>
            </w:pPr>
            <w:r>
              <w:rPr>
                <w:rFonts w:hint="eastAsia" w:ascii="宋体" w:hAnsi="宋体"/>
                <w:kern w:val="0"/>
                <w:sz w:val="18"/>
                <w:szCs w:val="18"/>
              </w:rPr>
              <w:t>旅游管理</w:t>
            </w:r>
          </w:p>
          <w:p>
            <w:pPr>
              <w:jc w:val="center"/>
              <w:rPr>
                <w:rFonts w:ascii="宋体" w:hAnsi="宋体"/>
                <w:kern w:val="0"/>
                <w:sz w:val="18"/>
                <w:szCs w:val="18"/>
              </w:rPr>
            </w:pPr>
            <w:r>
              <w:rPr>
                <w:rFonts w:hint="eastAsia" w:ascii="宋体" w:hAnsi="宋体"/>
                <w:kern w:val="0"/>
                <w:sz w:val="18"/>
                <w:szCs w:val="18"/>
              </w:rPr>
              <w:t>艺术</w:t>
            </w:r>
          </w:p>
          <w:p>
            <w:pPr>
              <w:jc w:val="center"/>
              <w:rPr>
                <w:rFonts w:ascii="宋体" w:hAnsi="宋体"/>
                <w:kern w:val="0"/>
                <w:sz w:val="18"/>
                <w:szCs w:val="18"/>
              </w:rPr>
            </w:pPr>
            <w:r>
              <w:rPr>
                <w:rFonts w:hint="eastAsia" w:ascii="宋体" w:hAnsi="宋体"/>
                <w:kern w:val="0"/>
                <w:sz w:val="18"/>
                <w:szCs w:val="18"/>
              </w:rPr>
              <w:t>工程（机械工程）</w:t>
            </w:r>
          </w:p>
          <w:p>
            <w:pPr>
              <w:jc w:val="center"/>
              <w:rPr>
                <w:rFonts w:ascii="宋体" w:hAnsi="宋体"/>
                <w:kern w:val="0"/>
                <w:sz w:val="18"/>
                <w:szCs w:val="18"/>
              </w:rPr>
            </w:pPr>
            <w:r>
              <w:rPr>
                <w:rFonts w:hint="eastAsia" w:ascii="宋体" w:hAnsi="宋体"/>
                <w:kern w:val="0"/>
                <w:sz w:val="18"/>
                <w:szCs w:val="18"/>
              </w:rPr>
              <w:t>翻译</w:t>
            </w:r>
          </w:p>
          <w:p>
            <w:pPr>
              <w:jc w:val="center"/>
              <w:rPr>
                <w:rFonts w:ascii="宋体" w:hAnsi="宋体"/>
                <w:kern w:val="0"/>
                <w:sz w:val="18"/>
                <w:szCs w:val="18"/>
              </w:rPr>
            </w:pPr>
            <w:r>
              <w:rPr>
                <w:rFonts w:hint="eastAsia" w:ascii="宋体" w:hAnsi="宋体"/>
                <w:kern w:val="0"/>
                <w:sz w:val="18"/>
                <w:szCs w:val="18"/>
              </w:rPr>
              <w:t>金融</w:t>
            </w:r>
          </w:p>
          <w:p>
            <w:pPr>
              <w:jc w:val="center"/>
              <w:rPr>
                <w:rFonts w:ascii="宋体" w:hAnsi="宋体"/>
                <w:kern w:val="0"/>
                <w:sz w:val="18"/>
                <w:szCs w:val="18"/>
              </w:rPr>
            </w:pPr>
            <w:r>
              <w:rPr>
                <w:rFonts w:hint="eastAsia" w:ascii="宋体" w:hAnsi="宋体"/>
                <w:kern w:val="0"/>
                <w:sz w:val="18"/>
                <w:szCs w:val="18"/>
              </w:rPr>
              <w:t>新闻与传播</w:t>
            </w:r>
          </w:p>
          <w:p>
            <w:pPr>
              <w:jc w:val="center"/>
              <w:rPr>
                <w:rFonts w:ascii="宋体" w:hAnsi="宋体"/>
                <w:kern w:val="0"/>
                <w:sz w:val="18"/>
                <w:szCs w:val="18"/>
              </w:rPr>
            </w:pPr>
          </w:p>
          <w:p>
            <w:pPr>
              <w:jc w:val="center"/>
              <w:rPr>
                <w:rFonts w:ascii="宋体" w:hAnsi="宋体"/>
                <w:kern w:val="0"/>
                <w:sz w:val="18"/>
                <w:szCs w:val="18"/>
              </w:rPr>
            </w:pPr>
          </w:p>
          <w:p>
            <w:pPr>
              <w:jc w:val="center"/>
              <w:rPr>
                <w:rFonts w:ascii="宋体" w:hAnsi="宋体"/>
                <w:kern w:val="0"/>
                <w:sz w:val="18"/>
                <w:szCs w:val="18"/>
              </w:rPr>
            </w:pPr>
            <w:r>
              <w:rPr>
                <w:rFonts w:hint="eastAsia" w:ascii="宋体" w:hAnsi="宋体"/>
                <w:kern w:val="0"/>
                <w:sz w:val="18"/>
                <w:szCs w:val="18"/>
              </w:rPr>
              <w:t>金融</w:t>
            </w: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w:t>
            </w: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30</w:t>
            </w:r>
          </w:p>
        </w:tc>
        <w:tc>
          <w:tcPr>
            <w:tcW w:w="2127" w:type="dxa"/>
            <w:vAlign w:val="center"/>
          </w:tcPr>
          <w:p>
            <w:pPr>
              <w:spacing w:line="360" w:lineRule="auto"/>
              <w:jc w:val="center"/>
              <w:rPr>
                <w:rFonts w:ascii="宋体" w:hAnsi="宋体"/>
                <w:kern w:val="0"/>
                <w:sz w:val="20"/>
                <w:szCs w:val="21"/>
              </w:rPr>
            </w:pPr>
            <w:r>
              <w:rPr>
                <w:rFonts w:hint="eastAsia" w:ascii="宋体" w:hAnsi="宋体"/>
                <w:kern w:val="0"/>
                <w:sz w:val="2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trPr>
        <w:tc>
          <w:tcPr>
            <w:tcW w:w="1985" w:type="dxa"/>
            <w:vMerge w:val="continue"/>
          </w:tcPr>
          <w:p>
            <w:pPr>
              <w:spacing w:line="360" w:lineRule="auto"/>
              <w:jc w:val="center"/>
              <w:rPr>
                <w:rFonts w:ascii="宋体" w:hAnsi="宋体"/>
                <w:kern w:val="0"/>
                <w:sz w:val="20"/>
                <w:szCs w:val="21"/>
              </w:rPr>
            </w:pP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w:t>
            </w: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30</w:t>
            </w:r>
          </w:p>
        </w:tc>
        <w:tc>
          <w:tcPr>
            <w:tcW w:w="2127" w:type="dxa"/>
            <w:vAlign w:val="center"/>
          </w:tcPr>
          <w:p>
            <w:pPr>
              <w:spacing w:line="360" w:lineRule="auto"/>
              <w:jc w:val="center"/>
              <w:rPr>
                <w:rFonts w:ascii="宋体" w:hAnsi="宋体"/>
                <w:kern w:val="0"/>
                <w:sz w:val="20"/>
                <w:szCs w:val="21"/>
              </w:rPr>
            </w:pPr>
            <w:r>
              <w:rPr>
                <w:rFonts w:hint="eastAsia" w:ascii="宋体" w:hAnsi="宋体"/>
                <w:kern w:val="0"/>
                <w:sz w:val="2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1985" w:type="dxa"/>
            <w:vMerge w:val="continue"/>
          </w:tcPr>
          <w:p>
            <w:pPr>
              <w:spacing w:line="360" w:lineRule="auto"/>
              <w:jc w:val="center"/>
              <w:rPr>
                <w:rFonts w:ascii="宋体" w:hAnsi="宋体"/>
                <w:kern w:val="0"/>
                <w:sz w:val="20"/>
                <w:szCs w:val="21"/>
              </w:rPr>
            </w:pP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w:t>
            </w: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w:t>
            </w:r>
          </w:p>
        </w:tc>
        <w:tc>
          <w:tcPr>
            <w:tcW w:w="2127" w:type="dxa"/>
            <w:vAlign w:val="center"/>
          </w:tcPr>
          <w:p>
            <w:pPr>
              <w:spacing w:line="360" w:lineRule="auto"/>
              <w:jc w:val="center"/>
              <w:rPr>
                <w:rFonts w:ascii="宋体" w:hAnsi="宋体"/>
                <w:kern w:val="0"/>
                <w:sz w:val="20"/>
                <w:szCs w:val="21"/>
              </w:rPr>
            </w:pPr>
            <w:r>
              <w:rPr>
                <w:rFonts w:hint="eastAsia" w:ascii="宋体" w:hAnsi="宋体"/>
                <w:kern w:val="0"/>
                <w:sz w:val="2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exact"/>
        </w:trPr>
        <w:tc>
          <w:tcPr>
            <w:tcW w:w="1985" w:type="dxa"/>
            <w:vMerge w:val="continue"/>
          </w:tcPr>
          <w:p>
            <w:pPr>
              <w:spacing w:line="360" w:lineRule="auto"/>
              <w:jc w:val="center"/>
              <w:rPr>
                <w:rFonts w:ascii="宋体" w:hAnsi="宋体"/>
                <w:kern w:val="0"/>
                <w:sz w:val="20"/>
                <w:szCs w:val="21"/>
              </w:rPr>
            </w:pP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w:t>
            </w: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w:t>
            </w:r>
          </w:p>
        </w:tc>
        <w:tc>
          <w:tcPr>
            <w:tcW w:w="2127" w:type="dxa"/>
            <w:vAlign w:val="center"/>
          </w:tcPr>
          <w:p>
            <w:pPr>
              <w:spacing w:line="360" w:lineRule="auto"/>
              <w:jc w:val="center"/>
              <w:rPr>
                <w:rFonts w:ascii="宋体" w:hAnsi="宋体"/>
                <w:kern w:val="0"/>
                <w:sz w:val="20"/>
                <w:szCs w:val="21"/>
              </w:rPr>
            </w:pPr>
            <w:r>
              <w:rPr>
                <w:rFonts w:hint="eastAsia" w:ascii="宋体" w:hAnsi="宋体"/>
                <w:kern w:val="0"/>
                <w:sz w:val="2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985" w:type="dxa"/>
          </w:tcPr>
          <w:p>
            <w:pPr>
              <w:spacing w:line="360" w:lineRule="auto"/>
              <w:jc w:val="center"/>
              <w:rPr>
                <w:rFonts w:ascii="宋体" w:hAnsi="宋体"/>
                <w:kern w:val="0"/>
                <w:sz w:val="20"/>
                <w:szCs w:val="21"/>
              </w:rPr>
            </w:pPr>
            <w:r>
              <w:rPr>
                <w:rFonts w:hint="eastAsia" w:ascii="宋体" w:hAnsi="宋体"/>
                <w:kern w:val="0"/>
                <w:sz w:val="20"/>
                <w:szCs w:val="21"/>
              </w:rPr>
              <w:t>合  计</w:t>
            </w: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60</w:t>
            </w:r>
          </w:p>
        </w:tc>
        <w:tc>
          <w:tcPr>
            <w:tcW w:w="2126" w:type="dxa"/>
            <w:vAlign w:val="center"/>
          </w:tcPr>
          <w:p>
            <w:pPr>
              <w:spacing w:line="360" w:lineRule="auto"/>
              <w:jc w:val="center"/>
              <w:rPr>
                <w:rFonts w:ascii="宋体" w:hAnsi="宋体"/>
                <w:kern w:val="0"/>
                <w:sz w:val="20"/>
                <w:szCs w:val="21"/>
              </w:rPr>
            </w:pPr>
            <w:r>
              <w:rPr>
                <w:rFonts w:hint="eastAsia" w:ascii="宋体" w:hAnsi="宋体"/>
                <w:kern w:val="0"/>
                <w:sz w:val="20"/>
                <w:szCs w:val="21"/>
              </w:rPr>
              <w:t>120</w:t>
            </w:r>
          </w:p>
        </w:tc>
        <w:tc>
          <w:tcPr>
            <w:tcW w:w="2127" w:type="dxa"/>
            <w:vAlign w:val="center"/>
          </w:tcPr>
          <w:p>
            <w:pPr>
              <w:spacing w:line="360" w:lineRule="auto"/>
              <w:ind w:left="6" w:hanging="6" w:hangingChars="3"/>
              <w:jc w:val="center"/>
              <w:rPr>
                <w:rFonts w:ascii="宋体" w:hAnsi="宋体"/>
                <w:kern w:val="0"/>
                <w:sz w:val="20"/>
                <w:szCs w:val="21"/>
              </w:rPr>
            </w:pPr>
            <w:r>
              <w:rPr>
                <w:rFonts w:hint="eastAsia" w:ascii="宋体" w:hAnsi="宋体"/>
                <w:kern w:val="0"/>
                <w:sz w:val="2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trPr>
        <w:tc>
          <w:tcPr>
            <w:tcW w:w="1985" w:type="dxa"/>
          </w:tcPr>
          <w:p>
            <w:pPr>
              <w:spacing w:line="360" w:lineRule="auto"/>
              <w:jc w:val="center"/>
              <w:rPr>
                <w:rFonts w:ascii="宋体" w:hAnsi="宋体"/>
                <w:b/>
                <w:kern w:val="0"/>
                <w:sz w:val="20"/>
                <w:szCs w:val="21"/>
              </w:rPr>
            </w:pPr>
            <w:r>
              <w:rPr>
                <w:rFonts w:hint="eastAsia" w:ascii="宋体" w:hAnsi="宋体"/>
                <w:b/>
                <w:kern w:val="0"/>
                <w:sz w:val="20"/>
                <w:szCs w:val="21"/>
              </w:rPr>
              <w:t>总  计</w:t>
            </w:r>
          </w:p>
        </w:tc>
        <w:tc>
          <w:tcPr>
            <w:tcW w:w="6379" w:type="dxa"/>
            <w:gridSpan w:val="3"/>
            <w:vAlign w:val="center"/>
          </w:tcPr>
          <w:p>
            <w:pPr>
              <w:spacing w:line="360" w:lineRule="auto"/>
              <w:ind w:left="6" w:hanging="6" w:hangingChars="3"/>
              <w:jc w:val="center"/>
              <w:rPr>
                <w:rFonts w:ascii="宋体" w:hAnsi="宋体"/>
                <w:b/>
                <w:kern w:val="0"/>
                <w:sz w:val="20"/>
                <w:szCs w:val="21"/>
              </w:rPr>
            </w:pPr>
            <w:r>
              <w:rPr>
                <w:rFonts w:hint="eastAsia" w:ascii="宋体" w:hAnsi="宋体"/>
                <w:b/>
                <w:kern w:val="0"/>
                <w:sz w:val="20"/>
                <w:szCs w:val="21"/>
              </w:rPr>
              <w:t>360</w:t>
            </w:r>
          </w:p>
        </w:tc>
      </w:tr>
    </w:tbl>
    <w:p>
      <w:pPr>
        <w:spacing w:line="360" w:lineRule="auto"/>
        <w:ind w:right="480"/>
        <w:rPr>
          <w:rFonts w:ascii="宋体" w:hAnsi="宋体"/>
          <w:b/>
          <w:sz w:val="2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altName w:val="微软雅黑"/>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26380"/>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43"/>
    <w:rsid w:val="00006C54"/>
    <w:rsid w:val="000070B9"/>
    <w:rsid w:val="000202B0"/>
    <w:rsid w:val="000438A3"/>
    <w:rsid w:val="0007578D"/>
    <w:rsid w:val="000834AA"/>
    <w:rsid w:val="00085461"/>
    <w:rsid w:val="000950B9"/>
    <w:rsid w:val="00096EAC"/>
    <w:rsid w:val="000B2B1A"/>
    <w:rsid w:val="000C40D1"/>
    <w:rsid w:val="000E57AA"/>
    <w:rsid w:val="000F2550"/>
    <w:rsid w:val="00110869"/>
    <w:rsid w:val="00142E5D"/>
    <w:rsid w:val="00147684"/>
    <w:rsid w:val="00152558"/>
    <w:rsid w:val="001546D7"/>
    <w:rsid w:val="00157476"/>
    <w:rsid w:val="00212DC5"/>
    <w:rsid w:val="0023484B"/>
    <w:rsid w:val="0024197C"/>
    <w:rsid w:val="00273EC5"/>
    <w:rsid w:val="002C6BA7"/>
    <w:rsid w:val="002F2837"/>
    <w:rsid w:val="002F728A"/>
    <w:rsid w:val="0030673E"/>
    <w:rsid w:val="003105EF"/>
    <w:rsid w:val="003127AE"/>
    <w:rsid w:val="003141B0"/>
    <w:rsid w:val="0033106C"/>
    <w:rsid w:val="0033734D"/>
    <w:rsid w:val="003463B8"/>
    <w:rsid w:val="00357063"/>
    <w:rsid w:val="0036324B"/>
    <w:rsid w:val="003A0B16"/>
    <w:rsid w:val="003A2775"/>
    <w:rsid w:val="003B054B"/>
    <w:rsid w:val="003C6B9B"/>
    <w:rsid w:val="003D5F14"/>
    <w:rsid w:val="003E5414"/>
    <w:rsid w:val="003E636E"/>
    <w:rsid w:val="003F2ECE"/>
    <w:rsid w:val="00403C23"/>
    <w:rsid w:val="004242B7"/>
    <w:rsid w:val="00425605"/>
    <w:rsid w:val="00476791"/>
    <w:rsid w:val="00492271"/>
    <w:rsid w:val="004A466C"/>
    <w:rsid w:val="004C17C2"/>
    <w:rsid w:val="004D25EC"/>
    <w:rsid w:val="004E2453"/>
    <w:rsid w:val="004F7A5D"/>
    <w:rsid w:val="00500A7D"/>
    <w:rsid w:val="00531319"/>
    <w:rsid w:val="00532664"/>
    <w:rsid w:val="00533168"/>
    <w:rsid w:val="00534D86"/>
    <w:rsid w:val="0056763E"/>
    <w:rsid w:val="00567F86"/>
    <w:rsid w:val="005747B3"/>
    <w:rsid w:val="00576A29"/>
    <w:rsid w:val="0058573D"/>
    <w:rsid w:val="005B293F"/>
    <w:rsid w:val="005B7EF8"/>
    <w:rsid w:val="005C472B"/>
    <w:rsid w:val="005D3A4D"/>
    <w:rsid w:val="005E50EF"/>
    <w:rsid w:val="00611B8A"/>
    <w:rsid w:val="006173E5"/>
    <w:rsid w:val="006240EB"/>
    <w:rsid w:val="0063306D"/>
    <w:rsid w:val="00652527"/>
    <w:rsid w:val="00664692"/>
    <w:rsid w:val="00680B63"/>
    <w:rsid w:val="00681F5D"/>
    <w:rsid w:val="00683F0D"/>
    <w:rsid w:val="006928E6"/>
    <w:rsid w:val="006B3222"/>
    <w:rsid w:val="006C38E7"/>
    <w:rsid w:val="006C7C89"/>
    <w:rsid w:val="006F4929"/>
    <w:rsid w:val="007033AC"/>
    <w:rsid w:val="0071078D"/>
    <w:rsid w:val="00721F6D"/>
    <w:rsid w:val="00724C9E"/>
    <w:rsid w:val="00743A0F"/>
    <w:rsid w:val="007558D5"/>
    <w:rsid w:val="00766648"/>
    <w:rsid w:val="00771EDD"/>
    <w:rsid w:val="0079469F"/>
    <w:rsid w:val="007A5BA8"/>
    <w:rsid w:val="007C3F58"/>
    <w:rsid w:val="007D388A"/>
    <w:rsid w:val="007E4291"/>
    <w:rsid w:val="007E7591"/>
    <w:rsid w:val="007F6143"/>
    <w:rsid w:val="00825FA4"/>
    <w:rsid w:val="008330C6"/>
    <w:rsid w:val="00851974"/>
    <w:rsid w:val="008611B3"/>
    <w:rsid w:val="00872ED9"/>
    <w:rsid w:val="0087689C"/>
    <w:rsid w:val="00891D1E"/>
    <w:rsid w:val="008A70C8"/>
    <w:rsid w:val="008C53F4"/>
    <w:rsid w:val="008D4099"/>
    <w:rsid w:val="008D5C8F"/>
    <w:rsid w:val="008E3212"/>
    <w:rsid w:val="008F1BA4"/>
    <w:rsid w:val="008F70F2"/>
    <w:rsid w:val="00907C0E"/>
    <w:rsid w:val="00924185"/>
    <w:rsid w:val="00940D77"/>
    <w:rsid w:val="009416F4"/>
    <w:rsid w:val="009503D5"/>
    <w:rsid w:val="009708F2"/>
    <w:rsid w:val="00983575"/>
    <w:rsid w:val="0098751A"/>
    <w:rsid w:val="009905E9"/>
    <w:rsid w:val="00991F9D"/>
    <w:rsid w:val="009A2012"/>
    <w:rsid w:val="009A389E"/>
    <w:rsid w:val="009A6D44"/>
    <w:rsid w:val="009B0CC6"/>
    <w:rsid w:val="009B1B41"/>
    <w:rsid w:val="009C5E80"/>
    <w:rsid w:val="009C66FF"/>
    <w:rsid w:val="009D52CA"/>
    <w:rsid w:val="009F4718"/>
    <w:rsid w:val="00A12206"/>
    <w:rsid w:val="00A16659"/>
    <w:rsid w:val="00A21298"/>
    <w:rsid w:val="00A2212B"/>
    <w:rsid w:val="00A23FCE"/>
    <w:rsid w:val="00A34B46"/>
    <w:rsid w:val="00A50832"/>
    <w:rsid w:val="00A5192D"/>
    <w:rsid w:val="00A643B0"/>
    <w:rsid w:val="00A739BD"/>
    <w:rsid w:val="00A81515"/>
    <w:rsid w:val="00AA72A7"/>
    <w:rsid w:val="00AC2D7D"/>
    <w:rsid w:val="00AC55EF"/>
    <w:rsid w:val="00AD437D"/>
    <w:rsid w:val="00B25D77"/>
    <w:rsid w:val="00B267E1"/>
    <w:rsid w:val="00B811B1"/>
    <w:rsid w:val="00B95802"/>
    <w:rsid w:val="00B96E5B"/>
    <w:rsid w:val="00BA3597"/>
    <w:rsid w:val="00BA6CF3"/>
    <w:rsid w:val="00BB48A4"/>
    <w:rsid w:val="00BB4D58"/>
    <w:rsid w:val="00BC055A"/>
    <w:rsid w:val="00BE0F55"/>
    <w:rsid w:val="00BE6377"/>
    <w:rsid w:val="00BF21D0"/>
    <w:rsid w:val="00BF4626"/>
    <w:rsid w:val="00C219E9"/>
    <w:rsid w:val="00C3202A"/>
    <w:rsid w:val="00C33A19"/>
    <w:rsid w:val="00C37891"/>
    <w:rsid w:val="00C55E47"/>
    <w:rsid w:val="00C625C2"/>
    <w:rsid w:val="00C7362A"/>
    <w:rsid w:val="00C76F3D"/>
    <w:rsid w:val="00C8382D"/>
    <w:rsid w:val="00CA6650"/>
    <w:rsid w:val="00CC4876"/>
    <w:rsid w:val="00CE5B5F"/>
    <w:rsid w:val="00CF387E"/>
    <w:rsid w:val="00D1509E"/>
    <w:rsid w:val="00D24E6A"/>
    <w:rsid w:val="00D35291"/>
    <w:rsid w:val="00D42DC0"/>
    <w:rsid w:val="00D43682"/>
    <w:rsid w:val="00D43C8A"/>
    <w:rsid w:val="00D521F2"/>
    <w:rsid w:val="00D5235B"/>
    <w:rsid w:val="00D61F2F"/>
    <w:rsid w:val="00D63069"/>
    <w:rsid w:val="00D6434E"/>
    <w:rsid w:val="00D86CC6"/>
    <w:rsid w:val="00D87631"/>
    <w:rsid w:val="00DA297B"/>
    <w:rsid w:val="00DB0CF1"/>
    <w:rsid w:val="00DC3D05"/>
    <w:rsid w:val="00E1104D"/>
    <w:rsid w:val="00E15D7C"/>
    <w:rsid w:val="00E237EA"/>
    <w:rsid w:val="00E2728C"/>
    <w:rsid w:val="00E618E9"/>
    <w:rsid w:val="00E6418A"/>
    <w:rsid w:val="00E73464"/>
    <w:rsid w:val="00E82FED"/>
    <w:rsid w:val="00E87E5E"/>
    <w:rsid w:val="00E90741"/>
    <w:rsid w:val="00E91C6A"/>
    <w:rsid w:val="00EA0A9C"/>
    <w:rsid w:val="00EA5F10"/>
    <w:rsid w:val="00EB7214"/>
    <w:rsid w:val="00ED0416"/>
    <w:rsid w:val="00EE3A8C"/>
    <w:rsid w:val="00EE775A"/>
    <w:rsid w:val="00F06652"/>
    <w:rsid w:val="00F0785D"/>
    <w:rsid w:val="00F35883"/>
    <w:rsid w:val="00F65212"/>
    <w:rsid w:val="00F90014"/>
    <w:rsid w:val="00FB7435"/>
    <w:rsid w:val="00FC1E71"/>
    <w:rsid w:val="00FE5213"/>
    <w:rsid w:val="00FF0751"/>
    <w:rsid w:val="00FF306E"/>
    <w:rsid w:val="3E48190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styleId="8">
    <w:name w:val="page number"/>
    <w:basedOn w:val="6"/>
    <w:qFormat/>
    <w:uiPriority w:val="0"/>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4"/>
    <w:semiHidden/>
    <w:uiPriority w:val="99"/>
    <w:rPr>
      <w:sz w:val="18"/>
      <w:szCs w:val="18"/>
    </w:rPr>
  </w:style>
  <w:style w:type="character" w:customStyle="1" w:styleId="12">
    <w:name w:val="页脚 Char"/>
    <w:basedOn w:val="6"/>
    <w:link w:val="3"/>
    <w:uiPriority w:val="99"/>
    <w:rPr>
      <w:sz w:val="18"/>
      <w:szCs w:val="18"/>
    </w:rPr>
  </w:style>
  <w:style w:type="paragraph" w:customStyle="1" w:styleId="13">
    <w:name w:val="p_text_indent_21"/>
    <w:basedOn w:val="1"/>
    <w:qFormat/>
    <w:uiPriority w:val="0"/>
    <w:pPr>
      <w:widowControl/>
      <w:spacing w:before="100" w:beforeAutospacing="1" w:after="100" w:afterAutospacing="1"/>
      <w:ind w:firstLine="480"/>
      <w:jc w:val="left"/>
    </w:pPr>
    <w:rPr>
      <w:rFonts w:ascii="宋体" w:hAnsi="宋体" w:cs="宋体"/>
      <w:kern w:val="0"/>
      <w:sz w:val="24"/>
    </w:rPr>
  </w:style>
  <w:style w:type="paragraph" w:customStyle="1" w:styleId="14">
    <w:name w:val="List Paragraph"/>
    <w:basedOn w:val="1"/>
    <w:qFormat/>
    <w:uiPriority w:val="34"/>
    <w:pPr>
      <w:ind w:firstLine="420" w:firstLineChars="200"/>
    </w:pPr>
  </w:style>
  <w:style w:type="character" w:customStyle="1" w:styleId="15">
    <w:name w:val="批注框文本 Char"/>
    <w:basedOn w:val="6"/>
    <w:link w:val="2"/>
    <w:semiHidden/>
    <w:qFormat/>
    <w:uiPriority w:val="99"/>
    <w:rPr>
      <w:rFonts w:ascii="Times New Roman" w:hAnsi="Times New Roman" w:eastAsia="宋体" w:cs="Times New Roman"/>
      <w:sz w:val="18"/>
      <w:szCs w:val="18"/>
    </w:rPr>
  </w:style>
  <w:style w:type="paragraph" w:customStyle="1" w:styleId="16">
    <w:name w:val="p_text_indent_2"/>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82D4CB-AE68-43CA-9056-75CA64F4A011}">
  <ds:schemaRefs/>
</ds:datastoreItem>
</file>

<file path=docProps/app.xml><?xml version="1.0" encoding="utf-8"?>
<Properties xmlns="http://schemas.openxmlformats.org/officeDocument/2006/extended-properties" xmlns:vt="http://schemas.openxmlformats.org/officeDocument/2006/docPropsVTypes">
  <Template>Normal</Template>
  <Company>GENCH</Company>
  <Pages>15</Pages>
  <Words>1301</Words>
  <Characters>7418</Characters>
  <Lines>61</Lines>
  <Paragraphs>17</Paragraphs>
  <TotalTime>0</TotalTime>
  <ScaleCrop>false</ScaleCrop>
  <LinksUpToDate>false</LinksUpToDate>
  <CharactersWithSpaces>8702</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2016-04-28T03:38:00Z</dcterms:created>
  <dc:creator>微软用户</dc:creator>
  <cp:lastModifiedBy>Administrator</cp:lastModifiedBy>
  <cp:lastPrinted>2016-10-20T00:53:00Z</cp:lastPrinted>
  <dcterms:modified xsi:type="dcterms:W3CDTF">2016-11-14T02:19:53Z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