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eastAsia="zh-CN"/>
        </w:rPr>
      </w:pPr>
      <w:r>
        <w:rPr>
          <w:rFonts w:hint="eastAsia"/>
          <w:b/>
          <w:bCs/>
          <w:sz w:val="32"/>
          <w:szCs w:val="32"/>
          <w:lang w:val="en-US" w:eastAsia="zh-CN"/>
        </w:rPr>
        <w:t xml:space="preserve">        </w:t>
      </w:r>
      <w:bookmarkStart w:id="0" w:name="_GoBack"/>
      <w:bookmarkEnd w:id="0"/>
      <w:r>
        <w:rPr>
          <w:rFonts w:hint="eastAsia"/>
          <w:b/>
          <w:bCs/>
          <w:sz w:val="32"/>
          <w:szCs w:val="32"/>
          <w:lang w:eastAsia="zh-CN"/>
        </w:rPr>
        <w:t>上海建桥学院科研成果奖励办法（试行）</w:t>
      </w:r>
    </w:p>
    <w:p>
      <w:pPr>
        <w:pStyle w:val="28"/>
        <w:keepNext w:val="0"/>
        <w:keepLines w:val="0"/>
        <w:widowControl/>
        <w:suppressLineNumbers w:val="0"/>
        <w:spacing w:before="0" w:beforeAutospacing="0" w:after="0" w:afterAutospacing="0"/>
        <w:ind w:left="0" w:right="0"/>
      </w:pPr>
      <w:r>
        <w:rPr>
          <w:shd w:val="clear" w:fill="FFFFFF"/>
        </w:rPr>
        <w:t>为了鼓励全校教师积极开展科学研究、科技开发，加快推进向应用型技术大学转型，营造良好的创新环境和学术氛围，提高我校科研能力和学术水平，特制订本办法。</w:t>
      </w:r>
    </w:p>
    <w:p>
      <w:pPr>
        <w:pStyle w:val="2"/>
        <w:keepNext w:val="0"/>
        <w:keepLines w:val="0"/>
        <w:widowControl/>
        <w:suppressLineNumbers w:val="0"/>
        <w:spacing w:before="0" w:beforeAutospacing="0" w:after="150" w:afterAutospacing="0" w:line="24" w:lineRule="atLeast"/>
        <w:ind w:left="0" w:right="0"/>
        <w:jc w:val="center"/>
        <w:rPr>
          <w:rFonts w:ascii="微软雅黑" w:hAnsi="微软雅黑" w:eastAsia="微软雅黑" w:cs="微软雅黑"/>
          <w:color w:val="333333"/>
          <w:sz w:val="24"/>
          <w:szCs w:val="24"/>
        </w:rPr>
      </w:pPr>
      <w:r>
        <w:rPr>
          <w:rStyle w:val="4"/>
          <w:rFonts w:hint="eastAsia" w:ascii="微软雅黑" w:hAnsi="微软雅黑" w:eastAsia="微软雅黑" w:cs="微软雅黑"/>
          <w:color w:val="333333"/>
          <w:sz w:val="24"/>
          <w:szCs w:val="24"/>
          <w:shd w:val="clear" w:fill="FFFFFF"/>
        </w:rPr>
        <w:t>第一章 获奖成果奖励</w:t>
      </w:r>
    </w:p>
    <w:p>
      <w:pPr>
        <w:pStyle w:val="28"/>
        <w:keepNext w:val="0"/>
        <w:keepLines w:val="0"/>
        <w:widowControl/>
        <w:suppressLineNumbers w:val="0"/>
        <w:spacing w:before="0" w:beforeAutospacing="0" w:after="0" w:afterAutospacing="0"/>
        <w:ind w:left="0" w:right="0"/>
      </w:pPr>
      <w:r>
        <w:rPr>
          <w:shd w:val="clear" w:fill="FFFFFF"/>
        </w:rPr>
        <w:t xml:space="preserve">第一条 凡以我校为第一完成单位和第一完成人，获国家级、省部级科学、技术技成果奖项者，学校将以获奖等级予以奖励，奖励金额为： </w:t>
      </w:r>
    </w:p>
    <w:tbl>
      <w:tblPr>
        <w:tblW w:w="871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
      <w:tblGrid>
        <w:gridCol w:w="2178"/>
        <w:gridCol w:w="2178"/>
        <w:gridCol w:w="2178"/>
        <w:gridCol w:w="21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Ex>
        <w:trPr>
          <w:trHeight w:val="345" w:hRule="atLeast"/>
        </w:trPr>
        <w:tc>
          <w:tcPr>
            <w:tcW w:w="2178" w:type="dxa"/>
            <w:shd w:val="clear"/>
            <w:vAlign w:val="center"/>
          </w:tcPr>
          <w:p>
            <w:pPr>
              <w:keepNext w:val="0"/>
              <w:keepLines w:val="0"/>
              <w:widowControl/>
              <w:suppressLineNumbers w:val="0"/>
              <w:bidi w:val="0"/>
              <w:spacing w:line="15" w:lineRule="atLeast"/>
              <w:jc w:val="left"/>
              <w:rPr>
                <w:rFonts w:hint="default" w:ascii="u5b8bu4f53" w:hAnsi="u5b8bu4f53" w:eastAsia="u5b8bu4f53" w:cs="u5b8bu4f53"/>
                <w:color w:val="333333"/>
                <w:sz w:val="18"/>
                <w:szCs w:val="18"/>
              </w:rPr>
            </w:pPr>
            <w:r>
              <w:rPr>
                <w:rFonts w:hint="default" w:ascii="u5b8bu4f53" w:hAnsi="u5b8bu4f53" w:eastAsia="u5b8bu4f53" w:cs="u5b8bu4f53"/>
                <w:color w:val="333333"/>
                <w:kern w:val="0"/>
                <w:sz w:val="18"/>
                <w:szCs w:val="18"/>
                <w:lang w:val="en-US" w:eastAsia="zh-CN" w:bidi="ar"/>
              </w:rPr>
              <w:t>​</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一等奖</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二等奖</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三等奖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360" w:hRule="atLeast"/>
        </w:trPr>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国家级</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50000</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30000</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345" w:hRule="atLeast"/>
        </w:trPr>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省部级</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20000</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10000</w:t>
            </w:r>
          </w:p>
        </w:tc>
        <w:tc>
          <w:tcPr>
            <w:tcW w:w="217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w:t>
            </w:r>
          </w:p>
        </w:tc>
      </w:tr>
    </w:tbl>
    <w:p>
      <w:pPr>
        <w:pStyle w:val="28"/>
        <w:keepNext w:val="0"/>
        <w:keepLines w:val="0"/>
        <w:widowControl/>
        <w:suppressLineNumbers w:val="0"/>
        <w:spacing w:before="0" w:beforeAutospacing="0" w:after="0" w:afterAutospacing="0"/>
        <w:ind w:left="0" w:right="0"/>
      </w:pPr>
      <w:r>
        <w:rPr>
          <w:shd w:val="clear" w:fill="FFFFFF"/>
        </w:rPr>
        <w:t>第二条 国家级奖项：我校为第二完成单位和第二完成人所获得的各类奖项，按上述奖励金额的50％予以奖励；我校为第三完成单位和第三完成人的按40％予以奖励；我校为第四完成单位和第四完成人的按30％予以奖励；我校为第五完成单位和第五完成人的按20％予以奖励；其余不予奖励。</w:t>
      </w:r>
    </w:p>
    <w:p>
      <w:pPr>
        <w:pStyle w:val="28"/>
        <w:keepNext w:val="0"/>
        <w:keepLines w:val="0"/>
        <w:widowControl/>
        <w:suppressLineNumbers w:val="0"/>
        <w:spacing w:before="0" w:beforeAutospacing="0" w:after="0" w:afterAutospacing="0"/>
        <w:ind w:left="0" w:right="0"/>
      </w:pPr>
      <w:r>
        <w:rPr>
          <w:shd w:val="clear" w:fill="FFFFFF"/>
        </w:rPr>
        <w:t>第三条 省、部级奖项：我校为第二完成单位和第二完成人所获得的各类奖项，按上述奖励金额的50％予以奖励；我校为第三完成单位和第三完成人的按20％予以奖励；其余不予奖励。</w:t>
      </w:r>
    </w:p>
    <w:p>
      <w:pPr>
        <w:pStyle w:val="28"/>
        <w:keepNext w:val="0"/>
        <w:keepLines w:val="0"/>
        <w:widowControl/>
        <w:suppressLineNumbers w:val="0"/>
        <w:spacing w:before="0" w:beforeAutospacing="0" w:after="0" w:afterAutospacing="0"/>
        <w:ind w:left="0" w:right="0"/>
        <w:jc w:val="center"/>
      </w:pPr>
      <w:r>
        <w:rPr>
          <w:rStyle w:val="4"/>
          <w:shd w:val="clear" w:fill="FFFFFF"/>
        </w:rPr>
        <w:t>第二章 优秀论文、译文奖励</w:t>
      </w:r>
    </w:p>
    <w:p>
      <w:pPr>
        <w:pStyle w:val="28"/>
        <w:keepNext w:val="0"/>
        <w:keepLines w:val="0"/>
        <w:widowControl/>
        <w:suppressLineNumbers w:val="0"/>
        <w:spacing w:before="0" w:beforeAutospacing="0" w:after="0" w:afterAutospacing="0"/>
        <w:ind w:left="0" w:right="0"/>
      </w:pPr>
      <w:r>
        <w:rPr>
          <w:shd w:val="clear" w:fill="FFFFFF"/>
        </w:rPr>
        <w:t>第四条 凡署名我校为第一作者单位的优秀论文、译文奖励金额如下：</w:t>
      </w:r>
    </w:p>
    <w:tbl>
      <w:tblPr>
        <w:tblW w:w="8819"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
      <w:tblGrid>
        <w:gridCol w:w="7332"/>
        <w:gridCol w:w="148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Ex>
        <w:trPr>
          <w:trHeight w:val="705"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刊物类别</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奖励金额（元/篇）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SCI（科学引文索引）、SSCI（社会科学引文索引）：IF≥2</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SCI、SSCI（社会科学引文索引）：2&gt;IF≥0.8</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EI（工程索引源刊JA类型）、A＆HCI（艺术及人文索引）；SCI（科学引文索引）、SSCI（社会科学引文索引）：IF≤0.8</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6000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《新华文摘》全文转载</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ISPT（国际科技会议索引）、《新华文摘》转摘、《中国人民大学报刊复印资料》全文转载</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CSCD（中文科学索引）、CSSCI（中文社会科学索引）</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《中国人民大学报刊复印资料》转摘</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20"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《人民日报》、《光明日报》、《解放日报》、《文汇报》的理论版、国内核心期刊和国际学术会议论文集，EI（工程索引会议检索CA类型）</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05" w:hRule="atLeast"/>
        </w:trPr>
        <w:tc>
          <w:tcPr>
            <w:tcW w:w="733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《中国人民大学报刊复印资料》目录索引</w:t>
            </w:r>
          </w:p>
        </w:tc>
        <w:tc>
          <w:tcPr>
            <w:tcW w:w="1487"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400</w:t>
            </w:r>
          </w:p>
        </w:tc>
      </w:tr>
    </w:tbl>
    <w:p>
      <w:pPr>
        <w:pStyle w:val="28"/>
        <w:keepNext w:val="0"/>
        <w:keepLines w:val="0"/>
        <w:widowControl/>
        <w:suppressLineNumbers w:val="0"/>
        <w:spacing w:before="0" w:beforeAutospacing="0" w:after="0" w:afterAutospacing="0"/>
        <w:ind w:left="0" w:right="0"/>
      </w:pPr>
      <w:r>
        <w:rPr>
          <w:shd w:val="clear" w:fill="FFFFFF"/>
        </w:rPr>
        <w:t>第五条 1.SCI（科学引文索引）不含SCI-E（SCI Expanded）扩展版；CSSCI（中国社会科学</w:t>
      </w:r>
    </w:p>
    <w:p>
      <w:pPr>
        <w:pStyle w:val="28"/>
        <w:keepNext w:val="0"/>
        <w:keepLines w:val="0"/>
        <w:widowControl/>
        <w:suppressLineNumbers w:val="0"/>
        <w:spacing w:before="0" w:beforeAutospacing="0" w:after="0" w:afterAutospacing="0"/>
        <w:ind w:left="0" w:right="0"/>
      </w:pPr>
      <w:r>
        <w:rPr>
          <w:shd w:val="clear" w:fill="FFFFFF"/>
        </w:rPr>
        <w:t>索引）不含扩展版。</w:t>
      </w:r>
    </w:p>
    <w:p>
      <w:pPr>
        <w:pStyle w:val="28"/>
        <w:keepNext w:val="0"/>
        <w:keepLines w:val="0"/>
        <w:widowControl/>
        <w:suppressLineNumbers w:val="0"/>
        <w:spacing w:before="0" w:beforeAutospacing="0" w:after="0" w:afterAutospacing="0"/>
        <w:ind w:left="0" w:right="0"/>
      </w:pPr>
      <w:r>
        <w:rPr>
          <w:shd w:val="clear" w:fill="FFFFFF"/>
        </w:rPr>
        <w:t>2.国内核心期刊范围以北京大学图书馆中文核心期刊目录最新版本为准。</w:t>
      </w:r>
    </w:p>
    <w:p>
      <w:pPr>
        <w:pStyle w:val="28"/>
        <w:keepNext w:val="0"/>
        <w:keepLines w:val="0"/>
        <w:widowControl/>
        <w:suppressLineNumbers w:val="0"/>
        <w:spacing w:before="0" w:beforeAutospacing="0" w:after="0" w:afterAutospacing="0"/>
        <w:ind w:left="0" w:right="0"/>
      </w:pPr>
      <w:r>
        <w:rPr>
          <w:shd w:val="clear" w:fill="FFFFFF"/>
        </w:rPr>
        <w:t>第六条 1.凡列入奖励的论文和译文均以公开出版为准。</w:t>
      </w:r>
    </w:p>
    <w:p>
      <w:pPr>
        <w:pStyle w:val="28"/>
        <w:keepNext w:val="0"/>
        <w:keepLines w:val="0"/>
        <w:widowControl/>
        <w:suppressLineNumbers w:val="0"/>
        <w:spacing w:before="0" w:beforeAutospacing="0" w:after="0" w:afterAutospacing="0"/>
        <w:ind w:left="0" w:right="0"/>
      </w:pPr>
      <w:r>
        <w:rPr>
          <w:shd w:val="clear" w:fill="FFFFFF"/>
        </w:rPr>
        <w:t>2.凡署名我校为第二作者单位的按上述标准的50％给予奖励。</w:t>
      </w:r>
    </w:p>
    <w:p>
      <w:pPr>
        <w:pStyle w:val="28"/>
        <w:keepNext w:val="0"/>
        <w:keepLines w:val="0"/>
        <w:widowControl/>
        <w:suppressLineNumbers w:val="0"/>
        <w:spacing w:before="0" w:beforeAutospacing="0" w:after="0" w:afterAutospacing="0"/>
        <w:ind w:left="0" w:right="0"/>
      </w:pPr>
      <w:r>
        <w:rPr>
          <w:shd w:val="clear" w:fill="FFFFFF"/>
        </w:rPr>
        <w:t>3.在学术期刊上发表的译文按论文标准的50％给予奖励。</w:t>
      </w:r>
    </w:p>
    <w:p>
      <w:pPr>
        <w:pStyle w:val="28"/>
        <w:keepNext w:val="0"/>
        <w:keepLines w:val="0"/>
        <w:widowControl/>
        <w:suppressLineNumbers w:val="0"/>
        <w:spacing w:before="0" w:beforeAutospacing="0" w:after="0" w:afterAutospacing="0"/>
        <w:ind w:left="0" w:right="0"/>
      </w:pPr>
      <w:r>
        <w:rPr>
          <w:shd w:val="clear" w:fill="FFFFFF"/>
        </w:rPr>
        <w:t>4.在各类学术期刊的非正刊上发表的论文，不予奖励。</w:t>
      </w:r>
    </w:p>
    <w:p>
      <w:pPr>
        <w:pStyle w:val="2"/>
        <w:keepNext w:val="0"/>
        <w:keepLines w:val="0"/>
        <w:widowControl/>
        <w:suppressLineNumbers w:val="0"/>
        <w:spacing w:before="0" w:beforeAutospacing="0" w:after="150" w:afterAutospacing="0" w:line="24" w:lineRule="atLeast"/>
        <w:ind w:left="0" w:right="0"/>
        <w:jc w:val="center"/>
        <w:rPr>
          <w:rFonts w:hint="eastAsia" w:ascii="微软雅黑" w:hAnsi="微软雅黑" w:eastAsia="微软雅黑" w:cs="微软雅黑"/>
          <w:color w:val="333333"/>
          <w:sz w:val="24"/>
          <w:szCs w:val="24"/>
        </w:rPr>
      </w:pPr>
      <w:r>
        <w:rPr>
          <w:rStyle w:val="4"/>
          <w:rFonts w:hint="eastAsia" w:ascii="微软雅黑" w:hAnsi="微软雅黑" w:eastAsia="微软雅黑" w:cs="微软雅黑"/>
          <w:color w:val="333333"/>
          <w:sz w:val="24"/>
          <w:szCs w:val="24"/>
          <w:shd w:val="clear" w:fill="FFFFFF"/>
        </w:rPr>
        <w:t>第三章 学术专著奖励</w:t>
      </w:r>
    </w:p>
    <w:p>
      <w:pPr>
        <w:pStyle w:val="28"/>
        <w:keepNext w:val="0"/>
        <w:keepLines w:val="0"/>
        <w:widowControl/>
        <w:suppressLineNumbers w:val="0"/>
        <w:spacing w:before="0" w:beforeAutospacing="0" w:after="0" w:afterAutospacing="0"/>
        <w:ind w:left="0" w:right="0"/>
      </w:pPr>
      <w:r>
        <w:rPr>
          <w:shd w:val="clear" w:fill="FFFFFF"/>
        </w:rPr>
        <w:t>第七条 凡以我校名义、主要作者为我校人员公开出版的学术专著（不包括教材）给予奖励，奖励金额为30元 / 千字。若该学术专著为合著，只对我校人员承担部分给予奖励。</w:t>
      </w:r>
    </w:p>
    <w:p>
      <w:pPr>
        <w:pStyle w:val="28"/>
        <w:keepNext w:val="0"/>
        <w:keepLines w:val="0"/>
        <w:widowControl/>
        <w:suppressLineNumbers w:val="0"/>
        <w:spacing w:before="0" w:beforeAutospacing="0" w:after="0" w:afterAutospacing="0"/>
        <w:ind w:left="0" w:right="0"/>
      </w:pPr>
      <w:r>
        <w:rPr>
          <w:shd w:val="clear" w:fill="FFFFFF"/>
        </w:rPr>
        <w:t>第八条 若该学术专著的公开正式出版已由学校经费资助的，则不再给予奖励。</w:t>
      </w:r>
    </w:p>
    <w:p>
      <w:pPr>
        <w:pStyle w:val="28"/>
        <w:keepNext w:val="0"/>
        <w:keepLines w:val="0"/>
        <w:widowControl/>
        <w:suppressLineNumbers w:val="0"/>
        <w:spacing w:before="0" w:beforeAutospacing="0" w:after="0" w:afterAutospacing="0"/>
        <w:ind w:left="0" w:right="0"/>
        <w:jc w:val="center"/>
      </w:pPr>
      <w:r>
        <w:rPr>
          <w:rStyle w:val="4"/>
          <w:shd w:val="clear" w:fill="FFFFFF"/>
        </w:rPr>
        <w:t>第四章 职务知识产权奖励</w:t>
      </w:r>
    </w:p>
    <w:p>
      <w:pPr>
        <w:pStyle w:val="28"/>
        <w:keepNext w:val="0"/>
        <w:keepLines w:val="0"/>
        <w:widowControl/>
        <w:suppressLineNumbers w:val="0"/>
        <w:spacing w:before="0" w:beforeAutospacing="0" w:after="0" w:afterAutospacing="0"/>
        <w:ind w:left="0" w:right="0"/>
      </w:pPr>
      <w:r>
        <w:rPr>
          <w:shd w:val="clear" w:fill="FFFFFF"/>
        </w:rPr>
        <w:t>第九条 对我校及人员作为独立职务知识产权第一发明人、设计人的成果，学校给予奖励，奖励金额如下：</w:t>
      </w:r>
    </w:p>
    <w:tbl>
      <w:tblPr>
        <w:tblW w:w="883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
      <w:tblGrid>
        <w:gridCol w:w="4198"/>
        <w:gridCol w:w="46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Ex>
        <w:tc>
          <w:tcPr>
            <w:tcW w:w="419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专利类型</w:t>
            </w:r>
          </w:p>
        </w:tc>
        <w:tc>
          <w:tcPr>
            <w:tcW w:w="4636"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奖励金额 （元/项）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c>
          <w:tcPr>
            <w:tcW w:w="419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授权发明专利</w:t>
            </w:r>
          </w:p>
        </w:tc>
        <w:tc>
          <w:tcPr>
            <w:tcW w:w="4636"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4000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c>
          <w:tcPr>
            <w:tcW w:w="419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授权实用新型专利</w:t>
            </w:r>
          </w:p>
        </w:tc>
        <w:tc>
          <w:tcPr>
            <w:tcW w:w="4636"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800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c>
          <w:tcPr>
            <w:tcW w:w="419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授权外观设计专利</w:t>
            </w:r>
          </w:p>
        </w:tc>
        <w:tc>
          <w:tcPr>
            <w:tcW w:w="4636"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400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c>
          <w:tcPr>
            <w:tcW w:w="4198"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申请发明专利</w:t>
            </w:r>
          </w:p>
        </w:tc>
        <w:tc>
          <w:tcPr>
            <w:tcW w:w="4636"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300</w:t>
            </w:r>
          </w:p>
        </w:tc>
      </w:tr>
    </w:tbl>
    <w:p>
      <w:pPr>
        <w:pStyle w:val="28"/>
        <w:keepNext w:val="0"/>
        <w:keepLines w:val="0"/>
        <w:widowControl/>
        <w:suppressLineNumbers w:val="0"/>
        <w:spacing w:before="0" w:beforeAutospacing="0" w:after="0" w:afterAutospacing="0"/>
        <w:ind w:left="0" w:right="0"/>
      </w:pPr>
      <w:r>
        <w:rPr>
          <w:shd w:val="clear" w:fill="FFFFFF"/>
        </w:rPr>
        <w:t>第十条 我校与外单位合作申请的职务发明专利，我校作为第一发明人或设计人的，按上述奖励标准的60％奖励；我校作为第二发明人或设计人的，按上述建立标准的30％奖励；我校作为第三发明人或设计人的，按上述建立标准的15％奖励；其余不予奖励。</w:t>
      </w:r>
    </w:p>
    <w:p>
      <w:pPr>
        <w:pStyle w:val="28"/>
        <w:keepNext w:val="0"/>
        <w:keepLines w:val="0"/>
        <w:widowControl/>
        <w:suppressLineNumbers w:val="0"/>
        <w:spacing w:before="0" w:beforeAutospacing="0" w:after="0" w:afterAutospacing="0"/>
        <w:ind w:left="0" w:right="0"/>
      </w:pPr>
      <w:r>
        <w:rPr>
          <w:shd w:val="clear" w:fill="FFFFFF"/>
        </w:rPr>
        <w:t>第十一条 对于以技术转让或者许可方式转化职务科技成果，以及促成科技成果中试、产业化等情况的奖励，按《上海建桥学院促进科技成果转化管理办法（试行）》执行。</w:t>
      </w:r>
    </w:p>
    <w:p>
      <w:pPr>
        <w:pStyle w:val="28"/>
        <w:keepNext w:val="0"/>
        <w:keepLines w:val="0"/>
        <w:widowControl/>
        <w:suppressLineNumbers w:val="0"/>
        <w:spacing w:before="0" w:beforeAutospacing="0" w:after="0" w:afterAutospacing="0"/>
        <w:ind w:left="0" w:right="0"/>
        <w:jc w:val="center"/>
      </w:pPr>
      <w:r>
        <w:rPr>
          <w:rStyle w:val="4"/>
          <w:shd w:val="clear" w:fill="FFFFFF"/>
        </w:rPr>
        <w:t>第五章 美术、艺术设计作品奖励</w:t>
      </w:r>
    </w:p>
    <w:p>
      <w:pPr>
        <w:pStyle w:val="28"/>
        <w:keepNext w:val="0"/>
        <w:keepLines w:val="0"/>
        <w:widowControl/>
        <w:suppressLineNumbers w:val="0"/>
        <w:spacing w:before="0" w:beforeAutospacing="0" w:after="0" w:afterAutospacing="0"/>
        <w:ind w:left="0" w:right="0"/>
      </w:pPr>
      <w:r>
        <w:rPr>
          <w:shd w:val="clear" w:fill="FFFFFF"/>
        </w:rPr>
        <w:t>第十二条 教师的美术、艺术设计作品获得国家和省部级奖项（政府颁发）的学校给予奖励，奖励金额如下：</w:t>
      </w:r>
    </w:p>
    <w:tbl>
      <w:tblPr>
        <w:tblW w:w="884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
      <w:tblGrid>
        <w:gridCol w:w="1192"/>
        <w:gridCol w:w="2552"/>
        <w:gridCol w:w="2552"/>
        <w:gridCol w:w="25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05" w:type="dxa"/>
            <w:left w:w="105" w:type="dxa"/>
            <w:bottom w:w="105" w:type="dxa"/>
            <w:right w:w="105" w:type="dxa"/>
          </w:tblCellMar>
        </w:tblPrEx>
        <w:tc>
          <w:tcPr>
            <w:tcW w:w="119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级别</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一等奖（元/项）</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二等奖（元/项）</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三等奖（元/项）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c>
          <w:tcPr>
            <w:tcW w:w="119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国家级</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10000</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5000</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2500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c>
          <w:tcPr>
            <w:tcW w:w="119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省部级</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2000</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1000</w:t>
            </w:r>
          </w:p>
        </w:tc>
        <w:tc>
          <w:tcPr>
            <w:tcW w:w="2552" w:type="dxa"/>
            <w:shd w:val="clear"/>
            <w:vAlign w:val="center"/>
          </w:tcPr>
          <w:p>
            <w:pPr>
              <w:pStyle w:val="2"/>
              <w:keepNext w:val="0"/>
              <w:keepLines w:val="0"/>
              <w:widowControl/>
              <w:suppressLineNumbers w:val="0"/>
              <w:spacing w:after="150" w:afterAutospacing="0" w:line="24" w:lineRule="atLeas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600</w:t>
            </w:r>
          </w:p>
        </w:tc>
      </w:tr>
    </w:tbl>
    <w:p>
      <w:pPr>
        <w:pStyle w:val="28"/>
        <w:keepNext w:val="0"/>
        <w:keepLines w:val="0"/>
        <w:widowControl/>
        <w:suppressLineNumbers w:val="0"/>
        <w:spacing w:before="0" w:beforeAutospacing="0" w:after="0" w:afterAutospacing="0"/>
        <w:ind w:left="0" w:right="0"/>
      </w:pPr>
      <w:r>
        <w:rPr>
          <w:shd w:val="clear" w:fill="FFFFFF"/>
        </w:rPr>
        <w:t>第十三条 正式出版的美术、艺术设计作品专（集）辑，若专（集）辑是由国家、市科研部门或协会提供经费，未列入学校经费范围之内，经学校批准后可给予1500—4000元的奖励，若该专（集）辑公开正式出版是有学院经费资助的，则不再给予奖励。</w:t>
      </w:r>
    </w:p>
    <w:p>
      <w:pPr>
        <w:pStyle w:val="28"/>
        <w:keepNext w:val="0"/>
        <w:keepLines w:val="0"/>
        <w:widowControl/>
        <w:suppressLineNumbers w:val="0"/>
        <w:spacing w:before="0" w:beforeAutospacing="0" w:after="0" w:afterAutospacing="0"/>
        <w:ind w:left="0" w:right="0"/>
        <w:jc w:val="center"/>
      </w:pPr>
      <w:r>
        <w:rPr>
          <w:rStyle w:val="4"/>
          <w:shd w:val="clear" w:fill="FFFFFF"/>
        </w:rPr>
        <w:t>第六章 科研奖励申报与评审</w:t>
      </w:r>
    </w:p>
    <w:p>
      <w:pPr>
        <w:pStyle w:val="28"/>
        <w:keepNext w:val="0"/>
        <w:keepLines w:val="0"/>
        <w:widowControl/>
        <w:suppressLineNumbers w:val="0"/>
        <w:spacing w:before="0" w:beforeAutospacing="0" w:after="0" w:afterAutospacing="0"/>
        <w:ind w:left="0" w:right="0"/>
      </w:pPr>
      <w:r>
        <w:rPr>
          <w:shd w:val="clear" w:fill="FFFFFF"/>
        </w:rPr>
        <w:t>第十四条 科研奖励每学年进行一次，与科研考核工作同时进行，由科研处每年5月下发《上海建桥学院学年科研工作奖励通知》。申报奖励人员须填写《上海建桥学院学年科研工作奖励申请表》，由所在学院（部门）领导审查、签字、盖章后，连同相关成果原件及复印件一份送交科研处。</w:t>
      </w:r>
    </w:p>
    <w:p>
      <w:pPr>
        <w:pStyle w:val="28"/>
        <w:keepNext w:val="0"/>
        <w:keepLines w:val="0"/>
        <w:widowControl/>
        <w:suppressLineNumbers w:val="0"/>
        <w:spacing w:before="0" w:beforeAutospacing="0" w:after="0" w:afterAutospacing="0"/>
        <w:ind w:left="0" w:right="0"/>
      </w:pPr>
      <w:r>
        <w:rPr>
          <w:shd w:val="clear" w:fill="FFFFFF"/>
        </w:rPr>
        <w:t>第十五条 科研处依据本办法对申报成果进行审核，拟订奖励方案，报请学校学术委员会裁定，向全校公示，无异议的，经学校领导批准，学校颁发奖金。</w:t>
      </w:r>
    </w:p>
    <w:p>
      <w:pPr>
        <w:pStyle w:val="28"/>
        <w:keepNext w:val="0"/>
        <w:keepLines w:val="0"/>
        <w:widowControl/>
        <w:suppressLineNumbers w:val="0"/>
        <w:spacing w:before="0" w:beforeAutospacing="0" w:after="0" w:afterAutospacing="0"/>
        <w:ind w:left="0" w:right="0"/>
      </w:pPr>
      <w:r>
        <w:rPr>
          <w:shd w:val="clear" w:fill="FFFFFF"/>
        </w:rPr>
        <w:t>奖励工作于每年6月30前考核结束。</w:t>
      </w:r>
    </w:p>
    <w:p>
      <w:pPr>
        <w:pStyle w:val="28"/>
        <w:keepNext w:val="0"/>
        <w:keepLines w:val="0"/>
        <w:widowControl/>
        <w:suppressLineNumbers w:val="0"/>
        <w:spacing w:before="0" w:beforeAutospacing="0" w:after="0" w:afterAutospacing="0"/>
        <w:ind w:left="0" w:right="0"/>
      </w:pPr>
      <w:r>
        <w:rPr>
          <w:shd w:val="clear" w:fill="FFFFFF"/>
        </w:rPr>
        <w:t>第十六条 获奖的成果，如发现有弄虚作假、剽窃、侵夺他人成果，或者以其他不正当手段骗取学校科研奖励的，经查明属实,由科研处报学校学术委员会批准后撤销奖励，追回奖金，学校按情节轻重给予相应处分处分。</w:t>
      </w:r>
    </w:p>
    <w:p>
      <w:pPr>
        <w:pStyle w:val="28"/>
        <w:keepNext w:val="0"/>
        <w:keepLines w:val="0"/>
        <w:widowControl/>
        <w:suppressLineNumbers w:val="0"/>
        <w:spacing w:before="0" w:beforeAutospacing="0" w:after="0" w:afterAutospacing="0"/>
        <w:ind w:left="0" w:right="0"/>
      </w:pPr>
      <w:r>
        <w:rPr>
          <w:shd w:val="clear" w:fill="FFFFFF"/>
        </w:rPr>
        <w:t xml:space="preserve">第十七条 本“办法”于2016年6月1日开始执行。 </w:t>
      </w:r>
    </w:p>
    <w:p>
      <w:pPr>
        <w:pStyle w:val="2"/>
        <w:keepNext w:val="0"/>
        <w:keepLines w:val="0"/>
        <w:widowControl/>
        <w:suppressLineNumbers w:val="0"/>
        <w:spacing w:before="0" w:beforeAutospacing="0" w:after="150" w:afterAutospacing="0" w:line="24"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  </w:t>
      </w:r>
    </w:p>
    <w:p>
      <w:pPr>
        <w:pStyle w:val="2"/>
        <w:keepNext w:val="0"/>
        <w:keepLines w:val="0"/>
        <w:widowControl/>
        <w:suppressLineNumbers w:val="0"/>
        <w:spacing w:before="0" w:beforeAutospacing="0" w:after="150" w:afterAutospacing="0" w:line="24"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上海建桥学院</w:t>
      </w:r>
    </w:p>
    <w:p>
      <w:pPr>
        <w:pStyle w:val="2"/>
        <w:keepNext w:val="0"/>
        <w:keepLines w:val="0"/>
        <w:widowControl/>
        <w:suppressLineNumbers w:val="0"/>
        <w:spacing w:before="0" w:beforeAutospacing="0" w:after="150" w:afterAutospacing="0" w:line="24"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fill="FFFFFF"/>
        </w:rPr>
        <w:t>2016年8月14日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u5b8bu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22E1F"/>
    <w:rsid w:val="20D22E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15" w:lineRule="atLeast"/>
      <w:ind w:left="0" w:right="0"/>
      <w:jc w:val="left"/>
    </w:pPr>
    <w:rPr>
      <w:rFonts w:ascii="u5b8bu4f53" w:hAnsi="u5b8bu4f53" w:eastAsia="u5b8bu4f53" w:cs="u5b8bu4f53"/>
      <w:color w:val="333333"/>
      <w:kern w:val="0"/>
      <w:sz w:val="18"/>
      <w:szCs w:val="18"/>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item-name"/>
    <w:basedOn w:val="3"/>
    <w:uiPriority w:val="0"/>
    <w:rPr>
      <w:bdr w:val="none" w:color="auto" w:sz="0" w:space="0"/>
    </w:rPr>
  </w:style>
  <w:style w:type="character" w:customStyle="1" w:styleId="9">
    <w:name w:val="item-name1"/>
    <w:basedOn w:val="3"/>
    <w:uiPriority w:val="0"/>
  </w:style>
  <w:style w:type="character" w:customStyle="1" w:styleId="10">
    <w:name w:val="item-name2"/>
    <w:basedOn w:val="3"/>
    <w:uiPriority w:val="0"/>
  </w:style>
  <w:style w:type="character" w:customStyle="1" w:styleId="11">
    <w:name w:val="item-name3"/>
    <w:basedOn w:val="3"/>
    <w:uiPriority w:val="0"/>
  </w:style>
  <w:style w:type="character" w:customStyle="1" w:styleId="12">
    <w:name w:val="item-name4"/>
    <w:basedOn w:val="3"/>
    <w:uiPriority w:val="0"/>
  </w:style>
  <w:style w:type="character" w:customStyle="1" w:styleId="13">
    <w:name w:val="item-name5"/>
    <w:basedOn w:val="3"/>
    <w:uiPriority w:val="0"/>
    <w:rPr>
      <w:rFonts w:hint="eastAsia" w:ascii="宋体" w:hAnsi="宋体" w:eastAsia="宋体" w:cs="宋体"/>
      <w:color w:val="FFFFFF"/>
      <w:sz w:val="19"/>
      <w:szCs w:val="19"/>
    </w:rPr>
  </w:style>
  <w:style w:type="character" w:customStyle="1" w:styleId="14">
    <w:name w:val="item-name6"/>
    <w:basedOn w:val="3"/>
    <w:uiPriority w:val="0"/>
  </w:style>
  <w:style w:type="character" w:customStyle="1" w:styleId="15">
    <w:name w:val="item-name7"/>
    <w:basedOn w:val="3"/>
    <w:uiPriority w:val="0"/>
    <w:rPr>
      <w:bdr w:val="none" w:color="auto" w:sz="0" w:space="0"/>
    </w:rPr>
  </w:style>
  <w:style w:type="character" w:customStyle="1" w:styleId="16">
    <w:name w:val="item-name8"/>
    <w:basedOn w:val="3"/>
    <w:uiPriority w:val="0"/>
    <w:rPr>
      <w:bdr w:val="none" w:color="auto" w:sz="0" w:space="0"/>
    </w:rPr>
  </w:style>
  <w:style w:type="character" w:customStyle="1" w:styleId="17">
    <w:name w:val="item-name9"/>
    <w:basedOn w:val="3"/>
    <w:uiPriority w:val="0"/>
    <w:rPr>
      <w:bdr w:val="none" w:color="auto" w:sz="0" w:space="0"/>
    </w:rPr>
  </w:style>
  <w:style w:type="character" w:customStyle="1" w:styleId="18">
    <w:name w:val="item-name10"/>
    <w:basedOn w:val="3"/>
    <w:uiPriority w:val="0"/>
    <w:rPr>
      <w:bdr w:val="none" w:color="auto" w:sz="0" w:space="0"/>
    </w:rPr>
  </w:style>
  <w:style w:type="character" w:customStyle="1" w:styleId="19">
    <w:name w:val="item-name11"/>
    <w:basedOn w:val="3"/>
    <w:uiPriority w:val="0"/>
    <w:rPr>
      <w:bdr w:val="none" w:color="auto" w:sz="0" w:space="0"/>
    </w:rPr>
  </w:style>
  <w:style w:type="character" w:customStyle="1" w:styleId="20">
    <w:name w:val="item-name12"/>
    <w:basedOn w:val="3"/>
    <w:uiPriority w:val="0"/>
    <w:rPr>
      <w:bdr w:val="none" w:color="auto" w:sz="0" w:space="0"/>
    </w:rPr>
  </w:style>
  <w:style w:type="character" w:customStyle="1" w:styleId="21">
    <w:name w:val="item-name13"/>
    <w:basedOn w:val="3"/>
    <w:uiPriority w:val="0"/>
    <w:rPr>
      <w:bdr w:val="none" w:color="auto" w:sz="0" w:space="0"/>
    </w:rPr>
  </w:style>
  <w:style w:type="character" w:customStyle="1" w:styleId="22">
    <w:name w:val="item-name14"/>
    <w:basedOn w:val="3"/>
    <w:uiPriority w:val="0"/>
    <w:rPr>
      <w:bdr w:val="none" w:color="auto" w:sz="0" w:space="0"/>
    </w:rPr>
  </w:style>
  <w:style w:type="character" w:customStyle="1" w:styleId="23">
    <w:name w:val="item-name15"/>
    <w:basedOn w:val="3"/>
    <w:uiPriority w:val="0"/>
    <w:rPr>
      <w:bdr w:val="none" w:color="auto" w:sz="0" w:space="0"/>
    </w:rPr>
  </w:style>
  <w:style w:type="character" w:customStyle="1" w:styleId="24">
    <w:name w:val="item-name16"/>
    <w:basedOn w:val="3"/>
    <w:uiPriority w:val="0"/>
  </w:style>
  <w:style w:type="character" w:customStyle="1" w:styleId="25">
    <w:name w:val="item-name17"/>
    <w:basedOn w:val="3"/>
    <w:uiPriority w:val="0"/>
  </w:style>
  <w:style w:type="character" w:customStyle="1" w:styleId="26">
    <w:name w:val="item-name18"/>
    <w:basedOn w:val="3"/>
    <w:uiPriority w:val="0"/>
    <w:rPr>
      <w:bdr w:val="none" w:color="auto" w:sz="0" w:space="0"/>
    </w:rPr>
  </w:style>
  <w:style w:type="character" w:customStyle="1" w:styleId="27">
    <w:name w:val="item-name19"/>
    <w:basedOn w:val="3"/>
    <w:uiPriority w:val="0"/>
    <w:rPr>
      <w:u w:val="none"/>
    </w:rPr>
  </w:style>
  <w:style w:type="paragraph" w:customStyle="1" w:styleId="28">
    <w:name w:val="p_text_indent_2"/>
    <w:basedOn w:val="1"/>
    <w:uiPriority w:val="0"/>
    <w:pPr>
      <w:ind w:firstLine="420"/>
      <w:jc w:val="left"/>
    </w:pPr>
    <w:rPr>
      <w:kern w:val="0"/>
      <w:lang w:val="en-US" w:eastAsia="zh-CN" w:bidi="ar"/>
    </w:rPr>
  </w:style>
  <w:style w:type="character" w:customStyle="1" w:styleId="29">
    <w:name w:val="pubdate-month"/>
    <w:basedOn w:val="3"/>
    <w:uiPriority w:val="0"/>
    <w:rPr>
      <w:sz w:val="24"/>
      <w:szCs w:val="24"/>
    </w:rPr>
  </w:style>
  <w:style w:type="character" w:customStyle="1" w:styleId="30">
    <w:name w:val="news_meta"/>
    <w:basedOn w:val="3"/>
    <w:uiPriority w:val="0"/>
  </w:style>
  <w:style w:type="character" w:customStyle="1" w:styleId="31">
    <w:name w:val="news_title"/>
    <w:basedOn w:val="3"/>
    <w:uiPriority w:val="0"/>
    <w:rPr>
      <w:bdr w:val="none" w:color="auto" w:sz="0" w:space="0"/>
    </w:rPr>
  </w:style>
  <w:style w:type="character" w:customStyle="1" w:styleId="32">
    <w:name w:val="news_title1"/>
    <w:basedOn w:val="3"/>
    <w:uiPriority w:val="0"/>
    <w:rPr>
      <w:bdr w:val="none" w:color="auto" w:sz="0" w:space="0"/>
    </w:rPr>
  </w:style>
  <w:style w:type="character" w:customStyle="1" w:styleId="33">
    <w:name w:val="column-name14"/>
    <w:basedOn w:val="3"/>
    <w:uiPriority w:val="0"/>
    <w:rPr>
      <w:color w:val="FF0000"/>
    </w:rPr>
  </w:style>
  <w:style w:type="character" w:customStyle="1" w:styleId="34">
    <w:name w:val="column-name15"/>
    <w:basedOn w:val="3"/>
    <w:uiPriority w:val="0"/>
    <w:rPr>
      <w:color w:val="124D83"/>
    </w:rPr>
  </w:style>
  <w:style w:type="character" w:customStyle="1" w:styleId="35">
    <w:name w:val="column-name16"/>
    <w:basedOn w:val="3"/>
    <w:uiPriority w:val="0"/>
    <w:rPr>
      <w:color w:val="124D83"/>
    </w:rPr>
  </w:style>
  <w:style w:type="character" w:customStyle="1" w:styleId="36">
    <w:name w:val="column-name17"/>
    <w:basedOn w:val="3"/>
    <w:uiPriority w:val="0"/>
    <w:rPr>
      <w:color w:val="124D83"/>
    </w:rPr>
  </w:style>
  <w:style w:type="character" w:customStyle="1" w:styleId="37">
    <w:name w:val="column-name18"/>
    <w:basedOn w:val="3"/>
    <w:uiPriority w:val="0"/>
    <w:rPr>
      <w:color w:val="124D83"/>
    </w:rPr>
  </w:style>
  <w:style w:type="character" w:customStyle="1" w:styleId="38">
    <w:name w:val="lectureaddress"/>
    <w:basedOn w:val="3"/>
    <w:uiPriority w:val="0"/>
    <w:rPr>
      <w:color w:val="999999"/>
      <w:sz w:val="18"/>
      <w:szCs w:val="18"/>
    </w:rPr>
  </w:style>
  <w:style w:type="character" w:customStyle="1" w:styleId="39">
    <w:name w:val="lectureuser"/>
    <w:basedOn w:val="3"/>
    <w:uiPriority w:val="0"/>
    <w:rPr>
      <w:b/>
    </w:rPr>
  </w:style>
  <w:style w:type="character" w:customStyle="1" w:styleId="40">
    <w:name w:val="pubdate-day"/>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2016-11-14T07:38:00Z</dcterms:created>
  <dc:creator>Administrator</dc:creator>
  <cp:lastModifiedBy>Administrator</cp:lastModifiedBy>
  <dcterms:modified xsi:type="dcterms:W3CDTF">2016-11-14T07:39:52Z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