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8" w:lineRule="auto"/>
        <w:jc w:val="center"/>
        <w:rPr>
          <w:b/>
          <w:sz w:val="28"/>
          <w:szCs w:val="30"/>
        </w:rPr>
      </w:pPr>
      <w:r>
        <w:rPr>
          <w:rFonts w:hint="eastAsia"/>
          <w:b/>
          <w:sz w:val="28"/>
          <w:szCs w:val="30"/>
        </w:rPr>
        <w:t>【毛泽东思想与中国特色社会主义理论体系概论】</w:t>
      </w:r>
    </w:p>
    <w:p>
      <w:pPr>
        <w:shd w:val="clear" w:color="auto" w:fill="F5F5F5"/>
        <w:jc w:val="center"/>
        <w:textAlignment w:val="top"/>
        <w:rPr>
          <w:rFonts w:ascii="Arial" w:hAnsi="Arial" w:cs="Arial"/>
          <w:color w:val="888888"/>
          <w:kern w:val="0"/>
          <w:sz w:val="20"/>
          <w:szCs w:val="20"/>
        </w:rPr>
      </w:pPr>
      <w:r>
        <w:rPr>
          <w:rFonts w:hint="eastAsia"/>
          <w:b/>
          <w:sz w:val="28"/>
          <w:szCs w:val="30"/>
        </w:rPr>
        <w:t>【Mao Ze-dong’s  Views  And  Systematic  Theory of  Socialism with  Chinese  Characteristics】</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B0011102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6分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本科所有专业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ascii="Times New Roman" w:hAnsi="Times New Roman" w:eastAsia="宋体" w:cs="Times New Roman"/>
          <w:color w:val="000000"/>
          <w:kern w:val="2"/>
          <w:sz w:val="20"/>
          <w:szCs w:val="20"/>
          <w:lang w:val="en-US" w:eastAsia="zh-CN" w:bidi="ar-SA"/>
        </w:rPr>
        <w:t>【思想政治理论教学部】</w:t>
      </w:r>
    </w:p>
    <w:p>
      <w:pPr>
        <w:pStyle w:val="5"/>
        <w:widowControl/>
        <w:rPr>
          <w:color w:val="000000"/>
          <w:szCs w:val="21"/>
        </w:rPr>
      </w:pPr>
      <w:r>
        <w:rPr>
          <w:rFonts w:hint="eastAsia"/>
          <w:b/>
          <w:bCs/>
          <w:color w:val="000000"/>
          <w:sz w:val="20"/>
          <w:szCs w:val="20"/>
          <w:lang w:val="en-US" w:eastAsia="zh-CN"/>
        </w:rPr>
        <w:t xml:space="preserve">    </w:t>
      </w:r>
      <w:r>
        <w:rPr>
          <w:b/>
          <w:bCs/>
          <w:color w:val="000000"/>
          <w:sz w:val="20"/>
          <w:szCs w:val="20"/>
        </w:rPr>
        <w:t>使用教材：</w:t>
      </w:r>
      <w:r>
        <w:rPr>
          <w:color w:val="000000"/>
          <w:sz w:val="20"/>
          <w:szCs w:val="20"/>
        </w:rPr>
        <w:t>主教材【</w:t>
      </w:r>
      <w:r>
        <w:rPr>
          <w:rFonts w:hint="eastAsia" w:ascii="宋体" w:hAnsi="宋体" w:cs="宋体"/>
          <w:color w:val="000000"/>
          <w:sz w:val="20"/>
          <w:szCs w:val="20"/>
        </w:rPr>
        <w:t xml:space="preserve">主教材【毛泽东思想和中国特色社会主义理论体系概论  本书编写组 高等教育出版社  </w:t>
      </w:r>
      <w:r>
        <w:rPr>
          <w:color w:val="000000"/>
          <w:sz w:val="20"/>
          <w:szCs w:val="20"/>
        </w:rPr>
        <w:t>201</w:t>
      </w:r>
      <w:r>
        <w:rPr>
          <w:rFonts w:hint="eastAsia"/>
          <w:color w:val="000000"/>
          <w:sz w:val="20"/>
          <w:szCs w:val="20"/>
        </w:rPr>
        <w:t>5年修订</w:t>
      </w:r>
      <w:r>
        <w:rPr>
          <w:rFonts w:hint="eastAsia" w:ascii="宋体" w:hAnsi="宋体" w:cs="宋体"/>
          <w:color w:val="000000"/>
          <w:sz w:val="20"/>
          <w:szCs w:val="20"/>
        </w:rPr>
        <w:t>版】</w:t>
      </w:r>
    </w:p>
    <w:p>
      <w:pPr>
        <w:snapToGrid w:val="0"/>
        <w:spacing w:line="288" w:lineRule="auto"/>
        <w:ind w:left="718"/>
        <w:rPr>
          <w:color w:val="000000"/>
          <w:szCs w:val="21"/>
        </w:rPr>
      </w:pPr>
      <w:r>
        <w:rPr>
          <w:rFonts w:hint="eastAsia"/>
          <w:color w:val="000000"/>
          <w:sz w:val="20"/>
          <w:szCs w:val="20"/>
          <w:lang w:val="en-US" w:eastAsia="zh-CN"/>
        </w:rPr>
        <w:t xml:space="preserve"> </w:t>
      </w:r>
      <w:r>
        <w:rPr>
          <w:color w:val="000000"/>
          <w:sz w:val="20"/>
          <w:szCs w:val="20"/>
        </w:rPr>
        <w:t>参考教材【</w:t>
      </w:r>
      <w:r>
        <w:rPr>
          <w:rFonts w:hint="eastAsia"/>
          <w:color w:val="000000"/>
          <w:sz w:val="20"/>
          <w:szCs w:val="20"/>
        </w:rPr>
        <w:t>《毛泽东选集》、《邓小平文选》、《江泽民文选》、《科学发展观学习读本》</w:t>
      </w:r>
      <w:r>
        <w:rPr>
          <w:color w:val="000000"/>
          <w:sz w:val="20"/>
          <w:szCs w:val="20"/>
        </w:rPr>
        <w:t>】</w:t>
      </w:r>
    </w:p>
    <w:p>
      <w:pPr>
        <w:adjustRightInd w:val="0"/>
        <w:snapToGrid w:val="0"/>
        <w:spacing w:line="288" w:lineRule="auto"/>
        <w:rPr>
          <w:color w:val="000000"/>
          <w:sz w:val="20"/>
          <w:szCs w:val="20"/>
        </w:rPr>
      </w:pPr>
      <w:r>
        <w:rPr>
          <w:rFonts w:hint="eastAsia"/>
          <w:b/>
          <w:bCs/>
          <w:color w:val="000000"/>
          <w:sz w:val="20"/>
          <w:szCs w:val="20"/>
          <w:lang w:val="en-US" w:eastAsia="zh-CN"/>
        </w:rPr>
        <w:t xml:space="preserve">    </w:t>
      </w:r>
      <w:r>
        <w:rPr>
          <w:b/>
          <w:bCs/>
          <w:color w:val="000000"/>
          <w:sz w:val="20"/>
          <w:szCs w:val="20"/>
        </w:rPr>
        <w:t>先修课程：</w:t>
      </w:r>
      <w:r>
        <w:rPr>
          <w:color w:val="000000"/>
          <w:sz w:val="20"/>
          <w:szCs w:val="20"/>
        </w:rPr>
        <w:t>【</w:t>
      </w:r>
      <w:r>
        <w:rPr>
          <w:rFonts w:hint="eastAsia"/>
          <w:color w:val="000000"/>
          <w:sz w:val="20"/>
          <w:szCs w:val="20"/>
        </w:rPr>
        <w:t>思想道德修养与法律基础，B00121031，（3）</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pStyle w:val="5"/>
        <w:widowControl/>
        <w:spacing w:line="300" w:lineRule="auto"/>
        <w:ind w:firstLine="400"/>
      </w:pPr>
      <w:r>
        <w:rPr>
          <w:color w:val="000000"/>
          <w:sz w:val="20"/>
          <w:szCs w:val="20"/>
        </w:rPr>
        <w:t>《毛泽东思想和中国特色社会主义理论体系概论》课程，是普通高等学校对大学生进行系统思想政治理论教育的一门必修课，是大学生学习和掌握马克思主义中国化理论成果基本知识的主渠道。</w:t>
      </w:r>
    </w:p>
    <w:p>
      <w:pPr>
        <w:pStyle w:val="5"/>
        <w:widowControl/>
        <w:spacing w:line="300" w:lineRule="auto"/>
        <w:ind w:firstLine="400"/>
        <w:rPr>
          <w:color w:val="000000"/>
          <w:sz w:val="20"/>
          <w:szCs w:val="20"/>
        </w:rPr>
      </w:pPr>
      <w:r>
        <w:rPr>
          <w:rFonts w:hint="eastAsia" w:ascii="宋体" w:hAnsi="宋体" w:cs="宋体"/>
          <w:color w:val="000000"/>
          <w:sz w:val="20"/>
          <w:szCs w:val="20"/>
        </w:rPr>
        <w:t>本课程的基本内容是：全面阐述毛泽东思想与中国特色社会主义理论体系（包括邓小平理论、“三个代表”重要思想、科学发展观和十八大以来形成的最新</w:t>
      </w:r>
      <w:r>
        <w:rPr>
          <w:rFonts w:hint="eastAsia"/>
          <w:color w:val="000000"/>
          <w:sz w:val="20"/>
          <w:szCs w:val="20"/>
        </w:rPr>
        <w:t>理论成果）的内在结构、产生的历史必然性、历史地位及对中国革命和中国社会主义建设事业产生的重要指导意义。</w:t>
      </w:r>
    </w:p>
    <w:p>
      <w:pPr>
        <w:pStyle w:val="5"/>
        <w:widowControl/>
        <w:spacing w:line="300" w:lineRule="auto"/>
        <w:ind w:firstLine="400"/>
      </w:pPr>
      <w:r>
        <w:rPr>
          <w:rFonts w:hint="eastAsia"/>
          <w:color w:val="000000"/>
          <w:sz w:val="20"/>
          <w:szCs w:val="20"/>
        </w:rPr>
        <w:t>本课程的基本目标是：</w:t>
      </w:r>
      <w:r>
        <w:rPr>
          <w:color w:val="000000"/>
          <w:sz w:val="20"/>
          <w:szCs w:val="20"/>
        </w:rPr>
        <w:t>通过该课程的教学，使学生系统理解和掌握马克思主义中国化的理论成果及其理论精髓。全面提高学生思想政治素质和中国化马克思主义理论素养。使学生科学把握社会主义的本质，真正认清社会主义初级阶段的基本国情，坚定走中国特色社会主义道路的理想和信念。使学生从社会主义革命和建设的历史进程中，进一步树立</w:t>
      </w:r>
      <w:r>
        <w:rPr>
          <w:rFonts w:hint="eastAsia"/>
          <w:color w:val="000000"/>
          <w:sz w:val="20"/>
          <w:szCs w:val="20"/>
        </w:rPr>
        <w:t>马克思主义和中国特色社会主义理想信念</w:t>
      </w:r>
      <w:r>
        <w:rPr>
          <w:color w:val="000000"/>
          <w:sz w:val="20"/>
          <w:szCs w:val="20"/>
        </w:rPr>
        <w:t>。使学生学会运用马克思主义中国化的立场、观点和方法分析问题和解决问题；增强学生投身于中国社会主义现代化建设</w:t>
      </w:r>
      <w:r>
        <w:rPr>
          <w:rFonts w:hint="eastAsia"/>
          <w:color w:val="000000"/>
          <w:sz w:val="20"/>
          <w:szCs w:val="20"/>
        </w:rPr>
        <w:t>实现中国梦</w:t>
      </w:r>
      <w:r>
        <w:rPr>
          <w:color w:val="000000"/>
          <w:sz w:val="20"/>
          <w:szCs w:val="20"/>
        </w:rPr>
        <w:t>的自觉性、主动性和创造性，成为中国特色社会主义事业的合格建设者和可靠接班人。</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val="0"/>
        <w:snapToGrid w:val="0"/>
        <w:spacing w:before="0" w:beforeAutospacing="0" w:after="0" w:afterAutospacing="0" w:line="360" w:lineRule="auto"/>
        <w:ind w:left="0" w:right="0" w:firstLine="400" w:firstLineChars="200"/>
        <w:jc w:val="both"/>
      </w:pPr>
      <w:r>
        <w:rPr>
          <w:rFonts w:hint="eastAsia" w:ascii="Times New Roman" w:hAnsi="Times New Roman" w:eastAsia="宋体" w:cs="宋体"/>
          <w:color w:val="000000"/>
          <w:kern w:val="2"/>
          <w:sz w:val="20"/>
          <w:szCs w:val="20"/>
          <w:lang w:val="en-US" w:eastAsia="zh-CN" w:bidi="ar-SA"/>
        </w:rPr>
        <w:t>本课程是全日制本科生通识教育必修课</w:t>
      </w:r>
      <w:r>
        <w:rPr>
          <w:rFonts w:hint="eastAsia" w:ascii="宋体" w:hAnsi="宋体" w:cs="宋体"/>
          <w:color w:val="000000"/>
          <w:sz w:val="20"/>
          <w:szCs w:val="20"/>
        </w:rPr>
        <w:t>。</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课程与培养学生能力的关联性</w:t>
      </w:r>
    </w:p>
    <w:tbl>
      <w:tblPr>
        <w:tblStyle w:val="8"/>
        <w:tblpPr w:leftFromText="180" w:rightFromText="180" w:vertAnchor="text" w:horzAnchor="margin" w:tblpX="250" w:tblpY="213"/>
        <w:tblOverlap w:val="neve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51"/>
        <w:gridCol w:w="850"/>
        <w:gridCol w:w="709"/>
        <w:gridCol w:w="709"/>
        <w:gridCol w:w="850"/>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675" w:type="dxa"/>
            <w:vMerge w:val="restart"/>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自主学习</w:t>
            </w:r>
          </w:p>
        </w:tc>
        <w:tc>
          <w:tcPr>
            <w:tcW w:w="709" w:type="dxa"/>
            <w:vMerge w:val="restart"/>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表达沟通</w:t>
            </w:r>
          </w:p>
        </w:tc>
        <w:tc>
          <w:tcPr>
            <w:tcW w:w="3969" w:type="dxa"/>
            <w:gridSpan w:val="5"/>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专业能力</w:t>
            </w:r>
          </w:p>
        </w:tc>
        <w:tc>
          <w:tcPr>
            <w:tcW w:w="709" w:type="dxa"/>
            <w:vMerge w:val="restart"/>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尽责抗压</w:t>
            </w:r>
          </w:p>
        </w:tc>
        <w:tc>
          <w:tcPr>
            <w:tcW w:w="709" w:type="dxa"/>
            <w:vMerge w:val="restart"/>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协同创新</w:t>
            </w:r>
          </w:p>
        </w:tc>
        <w:tc>
          <w:tcPr>
            <w:tcW w:w="708" w:type="dxa"/>
            <w:vMerge w:val="restart"/>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服务关爱</w:t>
            </w:r>
          </w:p>
        </w:tc>
        <w:tc>
          <w:tcPr>
            <w:tcW w:w="709" w:type="dxa"/>
            <w:vMerge w:val="restart"/>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信息应用</w:t>
            </w:r>
          </w:p>
        </w:tc>
        <w:tc>
          <w:tcPr>
            <w:tcW w:w="709" w:type="dxa"/>
            <w:vMerge w:val="restart"/>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Merge w:val="continue"/>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Merge w:val="continue"/>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851" w:type="dxa"/>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850" w:type="dxa"/>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850" w:type="dxa"/>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Merge w:val="continue"/>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Merge w:val="continue"/>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8" w:type="dxa"/>
            <w:vMerge w:val="continue"/>
            <w:vAlign w:val="center"/>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Merge w:val="continue"/>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c>
          <w:tcPr>
            <w:tcW w:w="709" w:type="dxa"/>
            <w:vMerge w:val="continue"/>
            <w:vAlign w:val="top"/>
          </w:tcPr>
          <w:p>
            <w:pPr>
              <w:snapToGrid w:val="0"/>
              <w:spacing w:before="0" w:beforeAutospacing="0" w:after="0" w:afterAutospacing="0" w:line="340" w:lineRule="exact"/>
              <w:ind w:left="0" w:right="0"/>
              <w:jc w:val="center"/>
              <w:rPr>
                <w:rFonts w:ascii="Calibri" w:hAnsi="Calibri" w:eastAsia="宋体"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675"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r>
              <w:rPr>
                <w:rFonts w:ascii="Calibri" w:hAnsi="Calibri" w:eastAsia="宋体" w:cs="Times New Roman"/>
                <w:color w:val="000000"/>
                <w:kern w:val="2"/>
                <w:sz w:val="20"/>
                <w:szCs w:val="20"/>
              </w:rPr>
              <w:sym w:font="Wingdings 2" w:char="F098"/>
            </w: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r>
              <w:rPr>
                <w:rFonts w:ascii="Calibri" w:hAnsi="Calibri" w:eastAsia="宋体" w:cs="Times New Roman"/>
                <w:color w:val="000000"/>
                <w:kern w:val="2"/>
                <w:sz w:val="20"/>
                <w:szCs w:val="20"/>
              </w:rPr>
              <w:sym w:font="Wingdings 2" w:char="F098"/>
            </w:r>
          </w:p>
        </w:tc>
        <w:tc>
          <w:tcPr>
            <w:tcW w:w="851"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850"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850"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r>
              <w:rPr>
                <w:rFonts w:ascii="Calibri" w:hAnsi="Calibri" w:eastAsia="宋体" w:cs="Times New Roman"/>
                <w:color w:val="000000"/>
                <w:kern w:val="2"/>
                <w:sz w:val="20"/>
                <w:szCs w:val="20"/>
              </w:rPr>
              <w:sym w:font="Wingdings 2" w:char="F098"/>
            </w:r>
          </w:p>
        </w:tc>
        <w:tc>
          <w:tcPr>
            <w:tcW w:w="708" w:type="dxa"/>
            <w:vAlign w:val="center"/>
          </w:tcPr>
          <w:p>
            <w:pPr>
              <w:tabs>
                <w:tab w:val="center" w:pos="306"/>
                <w:tab w:val="left" w:pos="482"/>
              </w:tabs>
              <w:snapToGrid w:val="0"/>
              <w:spacing w:before="0" w:beforeAutospacing="0" w:after="0" w:afterAutospacing="0"/>
              <w:ind w:left="0" w:right="0"/>
              <w:jc w:val="left"/>
              <w:rPr>
                <w:rFonts w:ascii="Calibri" w:hAnsi="Calibri" w:eastAsia="宋体" w:cs="Times New Roman"/>
                <w:color w:val="000000"/>
                <w:kern w:val="2"/>
                <w:sz w:val="20"/>
                <w:szCs w:val="20"/>
              </w:rPr>
            </w:pPr>
            <w:r>
              <w:rPr>
                <w:rFonts w:hint="eastAsia" w:ascii="Calibri" w:hAnsi="Calibri" w:eastAsia="宋体" w:cs="Times New Roman"/>
                <w:color w:val="000000"/>
                <w:kern w:val="2"/>
                <w:sz w:val="20"/>
                <w:szCs w:val="20"/>
                <w:lang w:eastAsia="zh-CN"/>
              </w:rPr>
              <w:tab/>
            </w: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r>
              <w:rPr>
                <w:rFonts w:ascii="Calibri" w:hAnsi="Calibri" w:eastAsia="宋体" w:cs="Times New Roman"/>
                <w:color w:val="000000"/>
                <w:kern w:val="2"/>
                <w:sz w:val="20"/>
                <w:szCs w:val="20"/>
              </w:rPr>
              <w:sym w:font="Wingdings 2" w:char="F098"/>
            </w:r>
          </w:p>
        </w:tc>
        <w:tc>
          <w:tcPr>
            <w:tcW w:w="709" w:type="dxa"/>
            <w:vAlign w:val="center"/>
          </w:tcPr>
          <w:p>
            <w:pPr>
              <w:snapToGrid w:val="0"/>
              <w:spacing w:before="0" w:beforeAutospacing="0" w:after="0" w:afterAutospacing="0"/>
              <w:ind w:left="0" w:right="0"/>
              <w:jc w:val="center"/>
              <w:rPr>
                <w:rFonts w:ascii="Calibri" w:hAnsi="Calibri" w:eastAsia="宋体" w:cs="Times New Roman"/>
                <w:color w:val="000000"/>
                <w:kern w:val="2"/>
                <w:sz w:val="20"/>
                <w:szCs w:val="20"/>
              </w:rPr>
            </w:pPr>
            <w:r>
              <w:rPr>
                <w:rFonts w:ascii="Calibri" w:hAnsi="Calibri" w:eastAsia="宋体" w:cs="Times New Roman"/>
                <w:color w:val="000000"/>
                <w:kern w:val="2"/>
                <w:sz w:val="20"/>
                <w:szCs w:val="20"/>
              </w:rPr>
              <w:sym w:font="Wingdings 2" w:char="F098"/>
            </w:r>
          </w:p>
        </w:tc>
      </w:tr>
    </w:tbl>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课程学习</w:t>
      </w:r>
      <w:r>
        <w:rPr>
          <w:rFonts w:hint="eastAsia" w:ascii="黑体" w:hAnsi="宋体" w:eastAsia="黑体"/>
          <w:sz w:val="24"/>
        </w:rPr>
        <w:t>目标</w:t>
      </w:r>
    </w:p>
    <w:tbl>
      <w:tblPr>
        <w:tblStyle w:val="9"/>
        <w:tblW w:w="9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top"/>
          </w:tcPr>
          <w:p>
            <w:pPr>
              <w:widowControl/>
              <w:spacing w:beforeLines="50" w:afterLines="50" w:line="288" w:lineRule="auto"/>
              <w:jc w:val="left"/>
              <w:rPr>
                <w:rFonts w:ascii="黑体" w:hAnsi="宋体" w:eastAsia="黑体"/>
                <w:sz w:val="24"/>
              </w:rPr>
            </w:pPr>
            <w:r>
              <w:rPr>
                <w:rFonts w:hint="eastAsia"/>
                <w:b/>
                <w:bCs/>
                <w:color w:val="000000"/>
                <w:sz w:val="20"/>
                <w:szCs w:val="20"/>
              </w:rPr>
              <w:t>知识目标</w:t>
            </w:r>
          </w:p>
        </w:tc>
        <w:tc>
          <w:tcPr>
            <w:tcW w:w="7852" w:type="dxa"/>
            <w:vAlign w:val="top"/>
          </w:tcPr>
          <w:p>
            <w:pPr>
              <w:widowControl/>
              <w:spacing w:beforeLines="50" w:afterLines="50"/>
              <w:jc w:val="left"/>
              <w:rPr>
                <w:rFonts w:ascii="宋体" w:hAnsi="宋体" w:cs="Tahoma"/>
                <w:color w:val="000000"/>
                <w:kern w:val="0"/>
                <w:sz w:val="20"/>
                <w:szCs w:val="20"/>
              </w:rPr>
            </w:pPr>
            <w:r>
              <w:rPr>
                <w:rFonts w:hint="eastAsia" w:ascii="宋体" w:hAnsi="宋体" w:cs="Tahoma"/>
                <w:color w:val="000000"/>
                <w:kern w:val="0"/>
                <w:sz w:val="20"/>
                <w:szCs w:val="20"/>
              </w:rPr>
              <w:t>了解马克思主义中国化的历史进程和中国化理论成果；</w:t>
            </w:r>
          </w:p>
          <w:p>
            <w:pPr>
              <w:widowControl/>
              <w:spacing w:beforeLines="50" w:afterLines="50"/>
              <w:jc w:val="left"/>
              <w:rPr>
                <w:rFonts w:ascii="宋体" w:hAnsi="宋体" w:cs="Tahoma"/>
                <w:color w:val="000000"/>
                <w:kern w:val="0"/>
                <w:sz w:val="20"/>
                <w:szCs w:val="20"/>
              </w:rPr>
            </w:pPr>
            <w:r>
              <w:rPr>
                <w:rFonts w:hint="eastAsia" w:ascii="宋体" w:hAnsi="宋体" w:cs="Tahoma"/>
                <w:color w:val="000000"/>
                <w:kern w:val="0"/>
                <w:sz w:val="20"/>
                <w:szCs w:val="20"/>
              </w:rPr>
              <w:t>掌握社会主义本质理论、社会主义初级阶段理论、社会主义改革和开放理论、中国特色社会主义建设“五位一体”等重大理论的基本概念和重要原理；</w:t>
            </w:r>
          </w:p>
          <w:p>
            <w:pPr>
              <w:widowControl/>
              <w:spacing w:beforeLines="50" w:afterLines="50"/>
              <w:jc w:val="left"/>
              <w:rPr>
                <w:rFonts w:ascii="宋体" w:hAnsi="宋体" w:cs="Tahoma"/>
                <w:color w:val="000000"/>
                <w:kern w:val="0"/>
                <w:sz w:val="20"/>
                <w:szCs w:val="20"/>
              </w:rPr>
            </w:pPr>
            <w:r>
              <w:rPr>
                <w:rFonts w:hint="eastAsia" w:ascii="宋体" w:hAnsi="宋体" w:cs="Tahoma"/>
                <w:color w:val="000000"/>
                <w:kern w:val="0"/>
                <w:sz w:val="20"/>
                <w:szCs w:val="20"/>
              </w:rPr>
              <w:t>理解并运用马克思主义</w:t>
            </w:r>
            <w:r>
              <w:rPr>
                <w:rFonts w:hint="eastAsia" w:ascii="宋体" w:hAnsi="宋体" w:cs="Tahoma"/>
                <w:b w:val="0"/>
                <w:bCs/>
                <w:color w:val="auto"/>
                <w:kern w:val="0"/>
                <w:sz w:val="20"/>
                <w:szCs w:val="20"/>
              </w:rPr>
              <w:t>中国化的</w:t>
            </w:r>
            <w:r>
              <w:rPr>
                <w:rFonts w:hint="eastAsia" w:ascii="宋体" w:hAnsi="宋体" w:cs="Tahoma"/>
                <w:color w:val="000000"/>
                <w:kern w:val="0"/>
                <w:sz w:val="20"/>
                <w:szCs w:val="20"/>
              </w:rPr>
              <w:t>立场、观点、方法解决现实生活的基本问题。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top"/>
          </w:tcPr>
          <w:p>
            <w:pPr>
              <w:widowControl/>
              <w:spacing w:beforeLines="50" w:afterLines="50" w:line="288" w:lineRule="auto"/>
              <w:jc w:val="left"/>
              <w:rPr>
                <w:rFonts w:ascii="黑体" w:hAnsi="宋体" w:eastAsia="黑体"/>
                <w:sz w:val="24"/>
              </w:rPr>
            </w:pPr>
            <w:r>
              <w:rPr>
                <w:rFonts w:hint="eastAsia"/>
                <w:b/>
                <w:bCs/>
                <w:color w:val="000000"/>
                <w:sz w:val="20"/>
                <w:szCs w:val="20"/>
              </w:rPr>
              <w:t>能力目标</w:t>
            </w:r>
          </w:p>
        </w:tc>
        <w:tc>
          <w:tcPr>
            <w:tcW w:w="7852" w:type="dxa"/>
            <w:vAlign w:val="top"/>
          </w:tcPr>
          <w:p>
            <w:pPr>
              <w:snapToGrid w:val="0"/>
              <w:spacing w:line="288" w:lineRule="auto"/>
              <w:rPr>
                <w:color w:val="000000"/>
                <w:sz w:val="20"/>
                <w:szCs w:val="20"/>
              </w:rPr>
            </w:pPr>
            <w:r>
              <w:rPr>
                <w:rFonts w:hint="eastAsia"/>
                <w:color w:val="000000"/>
                <w:sz w:val="20"/>
                <w:szCs w:val="20"/>
              </w:rPr>
              <w:t>具有熟练掌握本课程基本概念，正确表达思想观念的能力；</w:t>
            </w:r>
          </w:p>
          <w:p>
            <w:pPr>
              <w:snapToGrid w:val="0"/>
              <w:spacing w:line="288" w:lineRule="auto"/>
              <w:rPr>
                <w:rFonts w:hint="eastAsia"/>
                <w:color w:val="000000"/>
                <w:sz w:val="20"/>
                <w:szCs w:val="20"/>
              </w:rPr>
            </w:pPr>
            <w:r>
              <w:rPr>
                <w:rFonts w:hint="eastAsia"/>
                <w:color w:val="000000"/>
                <w:sz w:val="20"/>
                <w:szCs w:val="20"/>
              </w:rPr>
              <w:t>具有自主学习、明辨是非的能力；</w:t>
            </w:r>
          </w:p>
          <w:p>
            <w:pPr>
              <w:snapToGrid w:val="0"/>
              <w:spacing w:line="288" w:lineRule="auto"/>
              <w:rPr>
                <w:rFonts w:hint="eastAsia"/>
                <w:color w:val="000000"/>
                <w:sz w:val="20"/>
                <w:szCs w:val="20"/>
              </w:rPr>
            </w:pPr>
            <w:r>
              <w:rPr>
                <w:rFonts w:hint="eastAsia"/>
                <w:color w:val="000000"/>
                <w:sz w:val="20"/>
                <w:szCs w:val="20"/>
              </w:rPr>
              <w:t>能够理解和掌握建设中国特色社会主义理论和党的方针政策，正确分析和判断我国经济、政治、文化和社会发展现状、社会现实问题；</w:t>
            </w:r>
          </w:p>
          <w:p>
            <w:pPr>
              <w:snapToGrid w:val="0"/>
              <w:spacing w:line="288" w:lineRule="auto"/>
              <w:rPr>
                <w:rFonts w:hint="eastAsia"/>
                <w:color w:val="000000"/>
                <w:sz w:val="20"/>
                <w:szCs w:val="20"/>
              </w:rPr>
            </w:pPr>
            <w:r>
              <w:rPr>
                <w:rFonts w:hint="eastAsia"/>
                <w:color w:val="000000"/>
                <w:sz w:val="20"/>
                <w:szCs w:val="20"/>
              </w:rPr>
              <w:t>能够运用马克思主义中国化理论分析把握国际形势；</w:t>
            </w:r>
          </w:p>
          <w:p>
            <w:pPr>
              <w:snapToGrid w:val="0"/>
              <w:spacing w:line="288" w:lineRule="auto"/>
              <w:rPr>
                <w:color w:val="000000"/>
                <w:sz w:val="20"/>
                <w:szCs w:val="20"/>
              </w:rPr>
            </w:pPr>
            <w:r>
              <w:rPr>
                <w:rFonts w:hint="eastAsia"/>
                <w:color w:val="000000"/>
                <w:sz w:val="20"/>
                <w:szCs w:val="20"/>
              </w:rPr>
              <w:t>具有初步调查研究能力。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top"/>
          </w:tcPr>
          <w:p>
            <w:pPr>
              <w:widowControl/>
              <w:spacing w:beforeLines="50" w:afterLines="50" w:line="288" w:lineRule="auto"/>
              <w:jc w:val="left"/>
              <w:rPr>
                <w:rFonts w:ascii="黑体" w:hAnsi="宋体" w:eastAsia="黑体"/>
                <w:sz w:val="24"/>
              </w:rPr>
            </w:pPr>
            <w:r>
              <w:rPr>
                <w:rFonts w:hint="eastAsia"/>
                <w:b/>
                <w:bCs/>
                <w:color w:val="000000"/>
                <w:sz w:val="20"/>
                <w:szCs w:val="20"/>
              </w:rPr>
              <w:t>情感目标</w:t>
            </w:r>
          </w:p>
        </w:tc>
        <w:tc>
          <w:tcPr>
            <w:tcW w:w="7852" w:type="dxa"/>
            <w:vAlign w:val="top"/>
          </w:tcPr>
          <w:p>
            <w:pPr>
              <w:widowControl/>
              <w:spacing w:beforeLines="50" w:afterLines="50" w:line="288" w:lineRule="auto"/>
              <w:jc w:val="left"/>
              <w:rPr>
                <w:rFonts w:ascii="黑体" w:hAnsi="宋体" w:eastAsia="黑体"/>
                <w:sz w:val="24"/>
              </w:rPr>
            </w:pPr>
            <w:r>
              <w:rPr>
                <w:rFonts w:hint="eastAsia"/>
                <w:color w:val="000000"/>
                <w:sz w:val="20"/>
                <w:szCs w:val="20"/>
              </w:rPr>
              <w:t>通过本课程的学习，帮助大学生树立并坚定社会主义信念，认识到只有在中国共产党领导下坚持社会主义道路才能救中国和发展中国。能够科学看待中国实际问题，理性分析现实状况，具有当代大学生的使命感和社会责任感，具备社会主义现代化事业合格建设者所具有的基本政治素养和能力。</w:t>
            </w:r>
          </w:p>
        </w:tc>
      </w:tr>
    </w:tbl>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tbl>
      <w:tblPr>
        <w:tblStyle w:val="9"/>
        <w:tblW w:w="9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305"/>
        <w:gridCol w:w="3090"/>
        <w:gridCol w:w="316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序号</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章节板块</w:t>
            </w:r>
          </w:p>
        </w:tc>
        <w:tc>
          <w:tcPr>
            <w:tcW w:w="3090" w:type="dxa"/>
            <w:vAlign w:val="top"/>
          </w:tcPr>
          <w:p>
            <w:pPr>
              <w:snapToGrid w:val="0"/>
              <w:spacing w:line="288" w:lineRule="auto"/>
              <w:rPr>
                <w:rFonts w:ascii="宋体" w:hAnsi="宋体"/>
                <w:sz w:val="20"/>
                <w:szCs w:val="20"/>
              </w:rPr>
            </w:pPr>
            <w:r>
              <w:rPr>
                <w:rFonts w:hint="eastAsia" w:ascii="宋体" w:hAnsi="宋体"/>
                <w:sz w:val="20"/>
                <w:szCs w:val="20"/>
              </w:rPr>
              <w:t>知识点</w:t>
            </w:r>
          </w:p>
        </w:tc>
        <w:tc>
          <w:tcPr>
            <w:tcW w:w="3165" w:type="dxa"/>
            <w:vAlign w:val="top"/>
          </w:tcPr>
          <w:p>
            <w:pPr>
              <w:snapToGrid w:val="0"/>
              <w:spacing w:line="288" w:lineRule="auto"/>
              <w:rPr>
                <w:rFonts w:ascii="宋体" w:hAnsi="宋体"/>
                <w:sz w:val="20"/>
                <w:szCs w:val="20"/>
              </w:rPr>
            </w:pPr>
            <w:r>
              <w:rPr>
                <w:rFonts w:hint="eastAsia" w:ascii="宋体" w:hAnsi="宋体"/>
                <w:sz w:val="20"/>
                <w:szCs w:val="20"/>
              </w:rPr>
              <w:t>能力要求</w:t>
            </w:r>
          </w:p>
        </w:tc>
        <w:tc>
          <w:tcPr>
            <w:tcW w:w="1735" w:type="dxa"/>
            <w:vAlign w:val="top"/>
          </w:tcPr>
          <w:p>
            <w:pPr>
              <w:snapToGrid w:val="0"/>
              <w:spacing w:line="288" w:lineRule="auto"/>
              <w:rPr>
                <w:rFonts w:hint="eastAsia" w:ascii="宋体" w:hAnsi="宋体" w:eastAsia="宋体"/>
                <w:sz w:val="20"/>
                <w:szCs w:val="20"/>
                <w:lang w:eastAsia="zh-CN"/>
              </w:rPr>
            </w:pPr>
            <w:r>
              <w:rPr>
                <w:rFonts w:hint="eastAsia" w:ascii="宋体" w:hAnsi="宋体"/>
                <w:sz w:val="20"/>
                <w:szCs w:val="20"/>
                <w:lang w:eastAsia="zh-CN"/>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65" w:type="dxa"/>
            <w:vAlign w:val="top"/>
          </w:tcPr>
          <w:p>
            <w:pPr>
              <w:snapToGrid w:val="0"/>
              <w:spacing w:line="288" w:lineRule="auto"/>
              <w:rPr>
                <w:rFonts w:ascii="宋体" w:hAnsi="宋体"/>
                <w:sz w:val="20"/>
                <w:szCs w:val="20"/>
              </w:rPr>
            </w:pPr>
            <w:r>
              <w:rPr>
                <w:rFonts w:hint="eastAsia" w:ascii="宋体" w:hAnsi="宋体"/>
                <w:sz w:val="20"/>
                <w:szCs w:val="20"/>
              </w:rPr>
              <w:t>1</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马克思主义中国化两大理论成果</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了解马克思主义中国化的科学内涵及历史进程</w:t>
            </w:r>
          </w:p>
          <w:p>
            <w:pPr>
              <w:numPr>
                <w:ilvl w:val="0"/>
                <w:numId w:val="1"/>
              </w:numPr>
              <w:snapToGrid w:val="0"/>
              <w:spacing w:line="288" w:lineRule="auto"/>
              <w:rPr>
                <w:rFonts w:ascii="宋体" w:hAnsi="宋体"/>
                <w:sz w:val="20"/>
                <w:szCs w:val="20"/>
              </w:rPr>
            </w:pPr>
            <w:r>
              <w:rPr>
                <w:rFonts w:hint="eastAsia" w:ascii="宋体" w:hAnsi="宋体"/>
                <w:sz w:val="20"/>
                <w:szCs w:val="20"/>
              </w:rPr>
              <w:t>了解实事求是思想路线的科学内涵</w:t>
            </w:r>
          </w:p>
          <w:p>
            <w:pPr>
              <w:numPr>
                <w:ilvl w:val="0"/>
                <w:numId w:val="1"/>
              </w:numPr>
              <w:snapToGrid w:val="0"/>
              <w:spacing w:line="288" w:lineRule="auto"/>
              <w:rPr>
                <w:rFonts w:ascii="宋体" w:hAnsi="宋体"/>
                <w:sz w:val="20"/>
                <w:szCs w:val="20"/>
              </w:rPr>
            </w:pPr>
            <w:r>
              <w:rPr>
                <w:rFonts w:hint="eastAsia" w:ascii="宋体" w:hAnsi="宋体"/>
                <w:sz w:val="20"/>
                <w:szCs w:val="20"/>
              </w:rPr>
              <w:t>理解毛泽东思想和中国特色社会主义各个理论产生的时代背景、实践基础、科学体系、主要内容、历史地位和指导意义</w:t>
            </w:r>
          </w:p>
          <w:p>
            <w:pPr>
              <w:numPr>
                <w:ilvl w:val="0"/>
                <w:numId w:val="1"/>
              </w:numPr>
              <w:snapToGrid w:val="0"/>
              <w:spacing w:line="288" w:lineRule="auto"/>
              <w:rPr>
                <w:rFonts w:ascii="宋体" w:hAnsi="宋体"/>
                <w:sz w:val="20"/>
                <w:szCs w:val="20"/>
              </w:rPr>
            </w:pPr>
            <w:r>
              <w:rPr>
                <w:rFonts w:hint="eastAsia" w:ascii="宋体" w:hAnsi="宋体"/>
                <w:sz w:val="20"/>
                <w:szCs w:val="20"/>
              </w:rPr>
              <w:t>理解实事求是是马克思主义中国化理论成果的精髓。</w:t>
            </w: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能运用实事求是思想路线分析解决实际学习生活中的问题，提升自我学习和社会实践相结合的自觉性。</w:t>
            </w:r>
          </w:p>
          <w:p>
            <w:pPr>
              <w:numPr>
                <w:ilvl w:val="0"/>
                <w:numId w:val="1"/>
              </w:numPr>
              <w:snapToGrid w:val="0"/>
              <w:spacing w:line="288" w:lineRule="auto"/>
              <w:rPr>
                <w:rFonts w:ascii="宋体" w:hAnsi="宋体"/>
                <w:sz w:val="20"/>
                <w:szCs w:val="20"/>
              </w:rPr>
            </w:pPr>
            <w:r>
              <w:rPr>
                <w:rFonts w:hint="eastAsia" w:ascii="宋体" w:hAnsi="宋体"/>
                <w:sz w:val="20"/>
                <w:szCs w:val="20"/>
              </w:rPr>
              <w:t>能综合阐述马克思主义中国化的历史进程及中国化的马克思主义理论成果</w:t>
            </w:r>
          </w:p>
          <w:p>
            <w:pPr>
              <w:numPr>
                <w:ilvl w:val="0"/>
                <w:numId w:val="1"/>
              </w:numPr>
              <w:snapToGrid w:val="0"/>
              <w:spacing w:line="288" w:lineRule="auto"/>
              <w:rPr>
                <w:rFonts w:ascii="宋体" w:hAnsi="宋体"/>
                <w:sz w:val="20"/>
                <w:szCs w:val="20"/>
              </w:rPr>
            </w:pPr>
            <w:r>
              <w:rPr>
                <w:rFonts w:hint="eastAsia" w:ascii="宋体" w:hAnsi="宋体"/>
                <w:sz w:val="20"/>
                <w:szCs w:val="20"/>
              </w:rPr>
              <w:t>通过课前师生互动，回答问题，提高学生的语言表达能力。</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通过设置问题，启发学生对社会现实的思考，锻炼学生的自主学习能力，语言表达能力。</w:t>
            </w:r>
          </w:p>
        </w:tc>
        <w:tc>
          <w:tcPr>
            <w:tcW w:w="1735" w:type="dxa"/>
            <w:vAlign w:val="top"/>
          </w:tcPr>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重点：</w:t>
            </w:r>
            <w:r>
              <w:rPr>
                <w:rFonts w:hint="eastAsia" w:ascii="宋体" w:hAnsi="宋体"/>
                <w:b w:val="0"/>
                <w:bCs w:val="0"/>
                <w:sz w:val="20"/>
                <w:szCs w:val="20"/>
                <w:lang w:eastAsia="zh-CN"/>
              </w:rPr>
              <w:t>毛泽东思想和中国特色社会主义理论体系产生的时代背景、实践基础、科学体系、主要内容、历史地位和指导意义。</w:t>
            </w:r>
          </w:p>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难点</w:t>
            </w:r>
            <w:r>
              <w:rPr>
                <w:rFonts w:hint="eastAsia" w:ascii="宋体" w:hAnsi="宋体"/>
                <w:b w:val="0"/>
                <w:bCs w:val="0"/>
                <w:sz w:val="20"/>
                <w:szCs w:val="20"/>
                <w:lang w:eastAsia="zh-CN"/>
              </w:rPr>
              <w:t>：理解两大理论成果之间的关系。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2</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新民主主义革命理论</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了解新民主主义革命的时代背景，新民主主义革命的总路线、基本纲领</w:t>
            </w:r>
          </w:p>
          <w:p>
            <w:pPr>
              <w:numPr>
                <w:ilvl w:val="0"/>
                <w:numId w:val="1"/>
              </w:numPr>
              <w:snapToGrid w:val="0"/>
              <w:spacing w:line="288" w:lineRule="auto"/>
              <w:rPr>
                <w:rFonts w:ascii="宋体" w:hAnsi="宋体"/>
                <w:sz w:val="20"/>
                <w:szCs w:val="20"/>
              </w:rPr>
            </w:pPr>
            <w:r>
              <w:rPr>
                <w:rFonts w:hint="eastAsia" w:ascii="宋体" w:hAnsi="宋体"/>
                <w:sz w:val="20"/>
                <w:szCs w:val="20"/>
              </w:rPr>
              <w:t>理解新民主主义革命的道路、基本经验、理论的意义。</w:t>
            </w:r>
          </w:p>
          <w:p>
            <w:pPr>
              <w:numPr>
                <w:ilvl w:val="0"/>
                <w:numId w:val="1"/>
              </w:numPr>
              <w:snapToGrid w:val="0"/>
              <w:spacing w:line="288" w:lineRule="auto"/>
              <w:rPr>
                <w:rFonts w:ascii="宋体" w:hAnsi="宋体"/>
                <w:sz w:val="20"/>
                <w:szCs w:val="20"/>
              </w:rPr>
            </w:pPr>
            <w:r>
              <w:rPr>
                <w:rFonts w:hint="eastAsia" w:ascii="宋体" w:hAnsi="宋体"/>
                <w:sz w:val="20"/>
                <w:szCs w:val="20"/>
              </w:rPr>
              <w:t>理解中国革命实践与新民主主义理论之间的关系。</w:t>
            </w:r>
          </w:p>
          <w:p>
            <w:pPr>
              <w:snapToGrid w:val="0"/>
              <w:spacing w:line="288" w:lineRule="auto"/>
              <w:rPr>
                <w:rFonts w:ascii="宋体" w:hAnsi="宋体"/>
                <w:sz w:val="20"/>
                <w:szCs w:val="20"/>
              </w:rPr>
            </w:pP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能评价毛泽东思想对近代中国的理论指导意义，提升学生社会认知能力</w:t>
            </w:r>
          </w:p>
          <w:p>
            <w:pPr>
              <w:numPr>
                <w:ilvl w:val="0"/>
                <w:numId w:val="1"/>
              </w:numPr>
              <w:snapToGrid w:val="0"/>
              <w:spacing w:line="288" w:lineRule="auto"/>
              <w:rPr>
                <w:rFonts w:ascii="宋体" w:hAnsi="宋体"/>
                <w:sz w:val="20"/>
                <w:szCs w:val="20"/>
              </w:rPr>
            </w:pPr>
            <w:r>
              <w:rPr>
                <w:rFonts w:hint="eastAsia" w:ascii="宋体" w:hAnsi="宋体"/>
                <w:sz w:val="20"/>
                <w:szCs w:val="20"/>
              </w:rPr>
              <w:t>设置课前演讲等环节提高学生的语言表达能力和信息应用能力。</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设置问题，创造情境，启发学生自主思考，分组讨论，提高自主学习能</w:t>
            </w:r>
            <w:r>
              <w:rPr>
                <w:rFonts w:hint="eastAsia" w:ascii="宋体" w:hAnsi="宋体"/>
                <w:color w:val="auto"/>
                <w:sz w:val="20"/>
                <w:szCs w:val="20"/>
              </w:rPr>
              <w:t>力和语言表达能力、协作创新能力</w:t>
            </w:r>
          </w:p>
        </w:tc>
        <w:tc>
          <w:tcPr>
            <w:tcW w:w="1735" w:type="dxa"/>
            <w:vAlign w:val="top"/>
          </w:tcPr>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重点：</w:t>
            </w:r>
            <w:r>
              <w:rPr>
                <w:rFonts w:hint="eastAsia" w:ascii="宋体" w:hAnsi="宋体"/>
                <w:b w:val="0"/>
                <w:bCs w:val="0"/>
                <w:sz w:val="20"/>
                <w:szCs w:val="20"/>
                <w:lang w:eastAsia="zh-CN"/>
              </w:rPr>
              <w:t>新民主主义革命的总路线、基本纲领；新民主主义革命的道路、基本经验、理论的意义。</w:t>
            </w:r>
          </w:p>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难点：</w:t>
            </w:r>
            <w:r>
              <w:rPr>
                <w:rFonts w:hint="eastAsia" w:ascii="宋体" w:hAnsi="宋体"/>
                <w:b w:val="0"/>
                <w:bCs w:val="0"/>
                <w:sz w:val="20"/>
                <w:szCs w:val="20"/>
                <w:lang w:eastAsia="zh-CN"/>
              </w:rPr>
              <w:t>如何理解中国革命实践与新民主主义理论之间的关系。</w:t>
            </w:r>
          </w:p>
          <w:p>
            <w:pPr>
              <w:snapToGrid w:val="0"/>
              <w:spacing w:line="288" w:lineRule="auto"/>
              <w:rPr>
                <w:rFonts w:hint="eastAsia" w:ascii="宋体" w:hAnsi="宋体"/>
                <w:b/>
                <w:bCs/>
                <w:sz w:val="20"/>
                <w:szCs w:val="20"/>
                <w:lang w:eastAsia="zh-CN"/>
              </w:rPr>
            </w:pPr>
          </w:p>
          <w:p>
            <w:pPr>
              <w:snapToGrid w:val="0"/>
              <w:spacing w:line="288" w:lineRule="auto"/>
              <w:rPr>
                <w:rFonts w:hint="eastAsia" w:ascii="宋体" w:hAnsi="宋体"/>
                <w:b w:val="0"/>
                <w:bCs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3</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社会主义改造理论</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了解党在过渡时期的总路线；社会主义改造的历史经验；</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理解社会主义改造的历史必然性及社会主义制度建立的重大意义。</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理解社会主义改造和社会主义改革的关系；社会主义初级阶段与过渡时期的联系与区别。</w:t>
            </w:r>
          </w:p>
          <w:p>
            <w:pPr>
              <w:snapToGrid w:val="0"/>
              <w:spacing w:line="288" w:lineRule="auto"/>
              <w:rPr>
                <w:rFonts w:ascii="宋体" w:hAnsi="宋体"/>
                <w:sz w:val="20"/>
                <w:szCs w:val="20"/>
              </w:rPr>
            </w:pP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能分析社会主义制度在中国确立的历史必然和重大意义，提升对中国走社会主义道路的自信。</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通过社会实践调查，让学生分组选题并走出教室，了解现实，提高学生的自主学习、协作创新、信息应用、表达沟通、服务关爱等能力。</w:t>
            </w:r>
          </w:p>
        </w:tc>
        <w:tc>
          <w:tcPr>
            <w:tcW w:w="1735" w:type="dxa"/>
            <w:vAlign w:val="top"/>
          </w:tcPr>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重点：</w:t>
            </w:r>
            <w:r>
              <w:rPr>
                <w:rFonts w:hint="eastAsia" w:ascii="宋体" w:hAnsi="宋体"/>
                <w:b w:val="0"/>
                <w:bCs w:val="0"/>
                <w:sz w:val="20"/>
                <w:szCs w:val="20"/>
                <w:lang w:eastAsia="zh-CN"/>
              </w:rPr>
              <w:t>党在过渡时期的总路线；社会主义改造的历史经验；确立社会主义基本制度的重大意义。</w:t>
            </w:r>
          </w:p>
          <w:p>
            <w:pPr>
              <w:snapToGrid w:val="0"/>
              <w:spacing w:line="288" w:lineRule="auto"/>
              <w:rPr>
                <w:rFonts w:hint="eastAsia" w:ascii="宋体" w:hAnsi="宋体"/>
                <w:b/>
                <w:bCs/>
                <w:sz w:val="20"/>
                <w:szCs w:val="20"/>
                <w:lang w:eastAsia="zh-CN"/>
              </w:rPr>
            </w:pPr>
            <w:r>
              <w:rPr>
                <w:rFonts w:hint="eastAsia" w:ascii="宋体" w:hAnsi="宋体"/>
                <w:b/>
                <w:bCs/>
                <w:sz w:val="20"/>
                <w:szCs w:val="20"/>
                <w:lang w:eastAsia="zh-CN"/>
              </w:rPr>
              <w:t>难点：</w:t>
            </w:r>
            <w:r>
              <w:rPr>
                <w:rFonts w:hint="eastAsia" w:ascii="宋体" w:hAnsi="宋体"/>
                <w:b w:val="0"/>
                <w:bCs w:val="0"/>
                <w:sz w:val="20"/>
                <w:szCs w:val="20"/>
                <w:lang w:eastAsia="zh-CN"/>
              </w:rPr>
              <w:t>社会主义改造和社会主义改革的关系；社会主义初级阶段与过渡时期的联系与区别。</w:t>
            </w:r>
          </w:p>
          <w:p>
            <w:pPr>
              <w:snapToGrid w:val="0"/>
              <w:spacing w:line="288" w:lineRule="auto"/>
              <w:rPr>
                <w:rFonts w:hint="eastAsia" w:ascii="宋体" w:hAnsi="宋体"/>
                <w:b/>
                <w:bCs/>
                <w:sz w:val="20"/>
                <w:szCs w:val="20"/>
                <w:lang w:eastAsia="zh-CN"/>
              </w:rPr>
            </w:pPr>
          </w:p>
          <w:p>
            <w:pPr>
              <w:snapToGrid w:val="0"/>
              <w:spacing w:line="288" w:lineRule="auto"/>
              <w:rPr>
                <w:rFonts w:hint="eastAsia" w:ascii="宋体" w:hAnsi="宋体"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4</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社会主义建设道路初步探索的理论成果</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理解社会主义建设道路初步探索的理论成果</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理解社会主义建设道路初步探索的意义和经验教训</w:t>
            </w: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能学会从挫折中吸取经验教训的能力</w:t>
            </w:r>
          </w:p>
          <w:p>
            <w:pPr>
              <w:numPr>
                <w:ilvl w:val="0"/>
                <w:numId w:val="1"/>
              </w:numPr>
              <w:snapToGrid w:val="0"/>
              <w:spacing w:line="288" w:lineRule="auto"/>
              <w:rPr>
                <w:rFonts w:ascii="宋体" w:hAnsi="宋体"/>
                <w:sz w:val="20"/>
                <w:szCs w:val="20"/>
              </w:rPr>
            </w:pPr>
            <w:r>
              <w:rPr>
                <w:rFonts w:hint="eastAsia" w:ascii="宋体" w:hAnsi="宋体"/>
                <w:sz w:val="20"/>
                <w:szCs w:val="20"/>
              </w:rPr>
              <w:t>通过直接授课方式，使学生提升自我认知能力、学习能力。</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color w:val="auto"/>
                <w:sz w:val="20"/>
                <w:szCs w:val="20"/>
              </w:rPr>
              <w:t>通过案例教学法提升学生的理性思维的能</w:t>
            </w:r>
            <w:r>
              <w:rPr>
                <w:rFonts w:hint="eastAsia" w:ascii="宋体" w:hAnsi="宋体"/>
                <w:sz w:val="20"/>
                <w:szCs w:val="20"/>
              </w:rPr>
              <w:t>力。</w:t>
            </w:r>
          </w:p>
        </w:tc>
        <w:tc>
          <w:tcPr>
            <w:tcW w:w="1735" w:type="dxa"/>
            <w:vAlign w:val="top"/>
          </w:tcPr>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重点：</w:t>
            </w:r>
            <w:r>
              <w:rPr>
                <w:rFonts w:hint="eastAsia" w:ascii="宋体" w:hAnsi="宋体"/>
                <w:b w:val="0"/>
                <w:bCs w:val="0"/>
                <w:sz w:val="20"/>
                <w:szCs w:val="20"/>
                <w:lang w:eastAsia="zh-CN"/>
              </w:rPr>
              <w:t>社会主义建设道路进行初步探索取得的思想成果。</w:t>
            </w:r>
          </w:p>
          <w:p>
            <w:pPr>
              <w:snapToGrid w:val="0"/>
              <w:spacing w:line="288" w:lineRule="auto"/>
              <w:rPr>
                <w:rFonts w:hint="eastAsia" w:ascii="宋体" w:hAnsi="宋体"/>
                <w:b w:val="0"/>
                <w:bCs w:val="0"/>
                <w:sz w:val="20"/>
                <w:szCs w:val="20"/>
                <w:lang w:eastAsia="zh-CN"/>
              </w:rPr>
            </w:pPr>
            <w:r>
              <w:rPr>
                <w:rFonts w:hint="eastAsia" w:ascii="宋体" w:hAnsi="宋体"/>
                <w:b/>
                <w:bCs/>
                <w:sz w:val="20"/>
                <w:szCs w:val="20"/>
                <w:lang w:eastAsia="zh-CN"/>
              </w:rPr>
              <w:t>难点：</w:t>
            </w:r>
            <w:r>
              <w:rPr>
                <w:rFonts w:hint="eastAsia" w:ascii="宋体" w:hAnsi="宋体" w:eastAsia="宋体" w:cs="Times New Roman"/>
                <w:color w:val="000000"/>
                <w:sz w:val="20"/>
                <w:szCs w:val="20"/>
                <w:lang w:val="en-US" w:eastAsia="zh-CN" w:bidi="ar-SA"/>
              </w:rPr>
              <w:t>如何正确认识改革开放前后两个历史时期的关系。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5</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建设中国特色社会主义总依据</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了解社会主义初级阶段的含义、社会主义初级阶段主要矛盾和根本任务、党在社会主义初级阶段的基本路线和基本纲领</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理解社会主义初级阶段的基本特征及其长期性</w:t>
            </w:r>
          </w:p>
          <w:p>
            <w:pPr>
              <w:numPr>
                <w:ilvl w:val="0"/>
                <w:numId w:val="1"/>
              </w:numPr>
              <w:snapToGrid w:val="0"/>
              <w:spacing w:line="288" w:lineRule="auto"/>
              <w:rPr>
                <w:rFonts w:ascii="宋体" w:hAnsi="宋体"/>
                <w:sz w:val="20"/>
                <w:szCs w:val="20"/>
              </w:rPr>
            </w:pPr>
            <w:r>
              <w:rPr>
                <w:rFonts w:hint="eastAsia" w:ascii="宋体" w:hAnsi="宋体"/>
                <w:sz w:val="20"/>
                <w:szCs w:val="20"/>
              </w:rPr>
              <w:t>理解最高纲领和最低纲领之间的关系</w:t>
            </w: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能运用社会主义初级阶段理论来分析中国发展中的社会矛盾等现实问题</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能增强思</w:t>
            </w:r>
            <w:r>
              <w:rPr>
                <w:rFonts w:hint="eastAsia" w:ascii="宋体" w:hAnsi="宋体"/>
                <w:sz w:val="20"/>
                <w:szCs w:val="20"/>
              </w:rPr>
              <w:t>考和分析、解决问题的能力</w:t>
            </w: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社会主义初级阶段的含义、基本特征及其长期性。</w:t>
            </w:r>
          </w:p>
          <w:p>
            <w:pPr>
              <w:snapToGrid w:val="0"/>
              <w:spacing w:line="288" w:lineRule="auto"/>
              <w:rPr>
                <w:rFonts w:ascii="宋体" w:hAnsi="宋体"/>
                <w:sz w:val="20"/>
                <w:szCs w:val="20"/>
              </w:rPr>
            </w:pPr>
            <w:r>
              <w:rPr>
                <w:rFonts w:hint="eastAsia" w:ascii="宋体" w:hAnsi="宋体"/>
                <w:b/>
                <w:bCs/>
                <w:sz w:val="20"/>
                <w:szCs w:val="20"/>
              </w:rPr>
              <w:t>难点：</w:t>
            </w:r>
            <w:r>
              <w:rPr>
                <w:rFonts w:hint="eastAsia" w:ascii="宋体" w:hAnsi="宋体"/>
                <w:sz w:val="20"/>
                <w:szCs w:val="20"/>
              </w:rPr>
              <w:t>如何理解“总体上达到小康水平”与“全面建设小康社会”的关系。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6</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社会主义本质和建设中国特色社会主义总任务</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了解并理解邓小平关于社会主义本质的新概括</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理解社会主义的根本任务</w:t>
            </w:r>
          </w:p>
          <w:p>
            <w:pPr>
              <w:numPr>
                <w:ilvl w:val="0"/>
                <w:numId w:val="1"/>
              </w:numPr>
              <w:snapToGrid w:val="0"/>
              <w:spacing w:line="288" w:lineRule="auto"/>
              <w:rPr>
                <w:rFonts w:ascii="宋体" w:hAnsi="宋体"/>
                <w:sz w:val="20"/>
                <w:szCs w:val="20"/>
              </w:rPr>
            </w:pPr>
            <w:r>
              <w:rPr>
                <w:rFonts w:hint="eastAsia" w:ascii="宋体" w:hAnsi="宋体"/>
                <w:sz w:val="20"/>
                <w:szCs w:val="20"/>
              </w:rPr>
              <w:t>理解中国特色社会主义发展战略</w:t>
            </w:r>
          </w:p>
          <w:p>
            <w:pPr>
              <w:numPr>
                <w:ilvl w:val="0"/>
                <w:numId w:val="1"/>
              </w:numPr>
              <w:snapToGrid w:val="0"/>
              <w:spacing w:line="288" w:lineRule="auto"/>
              <w:rPr>
                <w:rFonts w:ascii="宋体" w:hAnsi="宋体"/>
                <w:sz w:val="20"/>
                <w:szCs w:val="20"/>
              </w:rPr>
            </w:pPr>
            <w:r>
              <w:rPr>
                <w:rFonts w:hint="eastAsia" w:ascii="宋体" w:hAnsi="宋体"/>
                <w:sz w:val="20"/>
                <w:szCs w:val="20"/>
              </w:rPr>
              <w:t>理解中国梦的重要意义</w:t>
            </w:r>
          </w:p>
        </w:tc>
        <w:tc>
          <w:tcPr>
            <w:tcW w:w="3165" w:type="dxa"/>
            <w:textDirection w:val="lrTb"/>
            <w:vAlign w:val="top"/>
          </w:tcPr>
          <w:p>
            <w:pPr>
              <w:numPr>
                <w:ilvl w:val="0"/>
                <w:numId w:val="1"/>
              </w:numPr>
              <w:snapToGrid w:val="0"/>
              <w:spacing w:line="288" w:lineRule="auto"/>
              <w:rPr>
                <w:rFonts w:ascii="宋体" w:hAnsi="宋体"/>
                <w:b w:val="0"/>
                <w:bCs w:val="0"/>
                <w:color w:val="auto"/>
                <w:sz w:val="20"/>
                <w:szCs w:val="20"/>
              </w:rPr>
            </w:pPr>
            <w:r>
              <w:rPr>
                <w:rFonts w:hint="eastAsia" w:ascii="宋体" w:hAnsi="宋体"/>
                <w:b w:val="0"/>
                <w:bCs w:val="0"/>
                <w:color w:val="auto"/>
                <w:sz w:val="20"/>
                <w:szCs w:val="20"/>
              </w:rPr>
              <w:t>能正确认识个人梦想的实现和中国梦之间的关系</w:t>
            </w:r>
          </w:p>
          <w:p>
            <w:pPr>
              <w:numPr>
                <w:ilvl w:val="0"/>
                <w:numId w:val="1"/>
              </w:numPr>
              <w:snapToGrid w:val="0"/>
              <w:spacing w:line="288" w:lineRule="auto"/>
              <w:rPr>
                <w:rFonts w:ascii="宋体" w:hAnsi="宋体"/>
                <w:b w:val="0"/>
                <w:bCs w:val="0"/>
                <w:color w:val="auto"/>
                <w:sz w:val="20"/>
                <w:szCs w:val="20"/>
              </w:rPr>
            </w:pPr>
            <w:r>
              <w:rPr>
                <w:rFonts w:hint="eastAsia" w:ascii="宋体" w:hAnsi="宋体"/>
                <w:b w:val="0"/>
                <w:bCs w:val="0"/>
                <w:color w:val="auto"/>
                <w:sz w:val="20"/>
                <w:szCs w:val="20"/>
              </w:rPr>
              <w:t>提升认识层次，把握中国社会发展方向</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通过随堂测试和师生互动增强学生的文字表能力和沟通能力</w:t>
            </w: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邓小平关于社会主义本质的新概括；民族复兴中国梦；</w:t>
            </w:r>
          </w:p>
          <w:p>
            <w:pPr>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rPr>
              <w:t>中国梦的实现途径。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7</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社会主义改革开放理论</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了解改革开放是发展中国特色社会主义的必由之路</w:t>
            </w:r>
          </w:p>
          <w:p>
            <w:pPr>
              <w:numPr>
                <w:ilvl w:val="0"/>
                <w:numId w:val="1"/>
              </w:numPr>
              <w:snapToGrid w:val="0"/>
              <w:spacing w:line="288" w:lineRule="auto"/>
              <w:rPr>
                <w:rFonts w:ascii="宋体" w:hAnsi="宋体"/>
                <w:sz w:val="20"/>
                <w:szCs w:val="20"/>
              </w:rPr>
            </w:pPr>
            <w:r>
              <w:rPr>
                <w:rFonts w:hint="eastAsia" w:ascii="宋体" w:hAnsi="宋体"/>
                <w:sz w:val="20"/>
                <w:szCs w:val="20"/>
              </w:rPr>
              <w:t>了解改革是社会主义制度的自我完善和发展</w:t>
            </w:r>
          </w:p>
          <w:p>
            <w:pPr>
              <w:numPr>
                <w:ilvl w:val="0"/>
                <w:numId w:val="1"/>
              </w:numPr>
              <w:snapToGrid w:val="0"/>
              <w:spacing w:line="288" w:lineRule="auto"/>
              <w:rPr>
                <w:rFonts w:ascii="宋体" w:hAnsi="宋体"/>
                <w:sz w:val="20"/>
                <w:szCs w:val="20"/>
              </w:rPr>
            </w:pPr>
            <w:r>
              <w:rPr>
                <w:rFonts w:hint="eastAsia" w:ascii="宋体" w:hAnsi="宋体"/>
                <w:sz w:val="20"/>
                <w:szCs w:val="20"/>
              </w:rPr>
              <w:t>理解改革开放的历史必然性</w:t>
            </w:r>
          </w:p>
          <w:p>
            <w:pPr>
              <w:numPr>
                <w:ilvl w:val="0"/>
                <w:numId w:val="1"/>
              </w:numPr>
              <w:snapToGrid w:val="0"/>
              <w:spacing w:line="288" w:lineRule="auto"/>
              <w:rPr>
                <w:rFonts w:ascii="宋体" w:hAnsi="宋体"/>
                <w:sz w:val="20"/>
                <w:szCs w:val="20"/>
              </w:rPr>
            </w:pPr>
            <w:r>
              <w:rPr>
                <w:rFonts w:hint="eastAsia" w:ascii="宋体" w:hAnsi="宋体"/>
                <w:sz w:val="20"/>
                <w:szCs w:val="20"/>
              </w:rPr>
              <w:t>理解改革、发展、稳定三者之间关系</w:t>
            </w:r>
          </w:p>
          <w:p>
            <w:pPr>
              <w:numPr>
                <w:ilvl w:val="0"/>
                <w:numId w:val="1"/>
              </w:numPr>
              <w:snapToGrid w:val="0"/>
              <w:spacing w:line="288" w:lineRule="auto"/>
              <w:rPr>
                <w:rFonts w:ascii="宋体" w:hAnsi="宋体"/>
                <w:sz w:val="20"/>
                <w:szCs w:val="20"/>
              </w:rPr>
            </w:pPr>
            <w:r>
              <w:rPr>
                <w:rFonts w:hint="eastAsia" w:ascii="宋体" w:hAnsi="宋体"/>
                <w:sz w:val="20"/>
                <w:szCs w:val="20"/>
              </w:rPr>
              <w:t>理解不断提高对外开放水平促进改革发展的必要</w:t>
            </w:r>
          </w:p>
        </w:tc>
        <w:tc>
          <w:tcPr>
            <w:tcW w:w="3165" w:type="dxa"/>
            <w:textDirection w:val="lrTb"/>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能树立改革的理念，增强对外开放的自信心，正确分析看待改革过程中出现的问题。</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sz w:val="20"/>
                <w:szCs w:val="20"/>
              </w:rPr>
              <w:t>通过社会实践增强团结协作能力和创新能力，在调研过程中引导学生深入了解农民工、留守儿童等群体的生活，通过志愿者等活动增强学生的服务关爱能力。</w:t>
            </w:r>
          </w:p>
        </w:tc>
        <w:tc>
          <w:tcPr>
            <w:tcW w:w="1735" w:type="dxa"/>
            <w:vAlign w:val="top"/>
          </w:tcPr>
          <w:p>
            <w:pPr>
              <w:tabs>
                <w:tab w:val="left" w:pos="232"/>
              </w:tabs>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“三个有利于”标准；改革开放的必然性和必要性。</w:t>
            </w:r>
          </w:p>
          <w:p>
            <w:pPr>
              <w:tabs>
                <w:tab w:val="left" w:pos="232"/>
              </w:tabs>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rPr>
              <w:t>如何正确处理改革、发展、稳定之间的关系；如何全面提高开放型经济水平。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8</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建设中国特色社会主义总布局</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了解中国特色社会主义总布局的含义</w:t>
            </w:r>
          </w:p>
          <w:p>
            <w:pPr>
              <w:numPr>
                <w:ilvl w:val="0"/>
                <w:numId w:val="1"/>
              </w:numPr>
              <w:snapToGrid w:val="0"/>
              <w:spacing w:line="288" w:lineRule="auto"/>
              <w:rPr>
                <w:rFonts w:ascii="宋体" w:hAnsi="宋体"/>
                <w:sz w:val="20"/>
                <w:szCs w:val="20"/>
              </w:rPr>
            </w:pPr>
            <w:r>
              <w:rPr>
                <w:rFonts w:hint="eastAsia" w:ascii="宋体" w:hAnsi="宋体"/>
                <w:sz w:val="20"/>
                <w:szCs w:val="20"/>
              </w:rPr>
              <w:t>了解社会主义市场经济理论的含义和社会主义初级阶段基本经济制度和分配制度</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理解社会主义市场经济与资本主义市场经济的区别；公有制的性质与实现形式之间的关系。推动经济健康持续发展的途径</w:t>
            </w:r>
          </w:p>
          <w:p>
            <w:pPr>
              <w:numPr>
                <w:ilvl w:val="0"/>
                <w:numId w:val="1"/>
              </w:numPr>
              <w:snapToGrid w:val="0"/>
              <w:spacing w:line="288" w:lineRule="auto"/>
              <w:rPr>
                <w:rFonts w:ascii="宋体" w:hAnsi="宋体"/>
                <w:sz w:val="20"/>
                <w:szCs w:val="20"/>
              </w:rPr>
            </w:pPr>
            <w:r>
              <w:rPr>
                <w:rFonts w:hint="eastAsia" w:ascii="宋体" w:hAnsi="宋体"/>
                <w:sz w:val="20"/>
                <w:szCs w:val="20"/>
              </w:rPr>
              <w:t>了解中国特色社会主义民主政治制度、中国特色社会主义政治发展道路</w:t>
            </w:r>
          </w:p>
          <w:p>
            <w:pPr>
              <w:numPr>
                <w:ilvl w:val="0"/>
                <w:numId w:val="1"/>
              </w:numPr>
              <w:snapToGrid w:val="0"/>
              <w:spacing w:line="288" w:lineRule="auto"/>
              <w:rPr>
                <w:rFonts w:ascii="宋体" w:hAnsi="宋体"/>
                <w:sz w:val="20"/>
                <w:szCs w:val="20"/>
              </w:rPr>
            </w:pPr>
            <w:r>
              <w:rPr>
                <w:rFonts w:hint="eastAsia" w:ascii="宋体" w:hAnsi="宋体"/>
                <w:sz w:val="20"/>
                <w:szCs w:val="20"/>
              </w:rPr>
              <w:t>了解依法治国的内涵</w:t>
            </w:r>
          </w:p>
          <w:p>
            <w:pPr>
              <w:numPr>
                <w:ilvl w:val="0"/>
                <w:numId w:val="1"/>
              </w:numPr>
              <w:snapToGrid w:val="0"/>
              <w:spacing w:line="288" w:lineRule="auto"/>
              <w:rPr>
                <w:rFonts w:ascii="宋体" w:hAnsi="宋体"/>
                <w:sz w:val="20"/>
                <w:szCs w:val="20"/>
              </w:rPr>
            </w:pPr>
            <w:r>
              <w:rPr>
                <w:rFonts w:hint="eastAsia" w:ascii="宋体" w:hAnsi="宋体"/>
                <w:sz w:val="20"/>
                <w:szCs w:val="20"/>
              </w:rPr>
              <w:t>理解建设社会主义法治国家和推进政治体质改革的必要性及着力点</w:t>
            </w:r>
          </w:p>
          <w:p>
            <w:pPr>
              <w:numPr>
                <w:ilvl w:val="0"/>
                <w:numId w:val="1"/>
              </w:numPr>
              <w:snapToGrid w:val="0"/>
              <w:spacing w:line="288" w:lineRule="auto"/>
              <w:rPr>
                <w:rFonts w:ascii="宋体" w:hAnsi="宋体"/>
                <w:sz w:val="20"/>
                <w:szCs w:val="20"/>
              </w:rPr>
            </w:pPr>
            <w:r>
              <w:rPr>
                <w:rFonts w:hint="eastAsia" w:ascii="宋体" w:hAnsi="宋体"/>
                <w:sz w:val="20"/>
                <w:szCs w:val="20"/>
              </w:rPr>
              <w:t>了解中国特色社会主义文化发展道路，社会主义核心价值体系和社会主义核心价值观的内涵</w:t>
            </w:r>
          </w:p>
          <w:p>
            <w:pPr>
              <w:numPr>
                <w:ilvl w:val="0"/>
                <w:numId w:val="1"/>
              </w:numPr>
              <w:snapToGrid w:val="0"/>
              <w:spacing w:line="288" w:lineRule="auto"/>
              <w:rPr>
                <w:rFonts w:ascii="宋体" w:hAnsi="宋体"/>
                <w:sz w:val="20"/>
                <w:szCs w:val="20"/>
              </w:rPr>
            </w:pPr>
            <w:r>
              <w:rPr>
                <w:rFonts w:hint="eastAsia" w:ascii="宋体" w:hAnsi="宋体"/>
                <w:sz w:val="20"/>
                <w:szCs w:val="20"/>
              </w:rPr>
              <w:t>理解社会主义核心价值体系的主要内容及其相互关系、加强思想道德建设和发展教育科学的重要意义、建设社会主义文化强国的途径</w:t>
            </w:r>
          </w:p>
          <w:p>
            <w:pPr>
              <w:numPr>
                <w:ilvl w:val="0"/>
                <w:numId w:val="1"/>
              </w:numPr>
              <w:snapToGrid w:val="0"/>
              <w:spacing w:line="288" w:lineRule="auto"/>
              <w:rPr>
                <w:rFonts w:ascii="宋体" w:hAnsi="宋体"/>
                <w:sz w:val="20"/>
                <w:szCs w:val="20"/>
              </w:rPr>
            </w:pPr>
            <w:r>
              <w:rPr>
                <w:rFonts w:hint="eastAsia" w:ascii="宋体" w:hAnsi="宋体"/>
                <w:sz w:val="20"/>
                <w:szCs w:val="20"/>
              </w:rPr>
              <w:t>了解社会主义和谐社会的科学内涵</w:t>
            </w:r>
          </w:p>
          <w:p>
            <w:pPr>
              <w:numPr>
                <w:ilvl w:val="0"/>
                <w:numId w:val="1"/>
              </w:numPr>
              <w:snapToGrid w:val="0"/>
              <w:spacing w:line="288" w:lineRule="auto"/>
              <w:rPr>
                <w:rFonts w:ascii="宋体" w:hAnsi="宋体"/>
                <w:sz w:val="20"/>
                <w:szCs w:val="20"/>
              </w:rPr>
            </w:pPr>
            <w:r>
              <w:rPr>
                <w:rFonts w:hint="eastAsia" w:ascii="宋体" w:hAnsi="宋体"/>
                <w:sz w:val="20"/>
                <w:szCs w:val="20"/>
              </w:rPr>
              <w:t>理解构建社会主义和谐社会的重要性、指导思想和基本原则。</w:t>
            </w:r>
          </w:p>
          <w:p>
            <w:pPr>
              <w:numPr>
                <w:ilvl w:val="0"/>
                <w:numId w:val="1"/>
              </w:numPr>
              <w:snapToGrid w:val="0"/>
              <w:spacing w:line="288" w:lineRule="auto"/>
              <w:rPr>
                <w:rFonts w:ascii="宋体" w:hAnsi="宋体"/>
                <w:sz w:val="20"/>
                <w:szCs w:val="20"/>
              </w:rPr>
            </w:pPr>
            <w:r>
              <w:rPr>
                <w:rFonts w:hint="eastAsia" w:ascii="宋体" w:hAnsi="宋体"/>
                <w:sz w:val="20"/>
                <w:szCs w:val="20"/>
              </w:rPr>
              <w:t>了解生态文明理念和节约资源、保护环境的基本国策</w:t>
            </w:r>
          </w:p>
          <w:p>
            <w:pPr>
              <w:numPr>
                <w:ilvl w:val="0"/>
                <w:numId w:val="1"/>
              </w:numPr>
              <w:snapToGrid w:val="0"/>
              <w:spacing w:line="288" w:lineRule="auto"/>
              <w:rPr>
                <w:rFonts w:ascii="宋体" w:hAnsi="宋体"/>
                <w:sz w:val="20"/>
                <w:szCs w:val="20"/>
              </w:rPr>
            </w:pPr>
            <w:r>
              <w:rPr>
                <w:rFonts w:hint="eastAsia" w:ascii="宋体" w:hAnsi="宋体"/>
                <w:sz w:val="20"/>
                <w:szCs w:val="20"/>
              </w:rPr>
              <w:t>理解建设社会主义生态文明的重要意义、总体要求</w:t>
            </w:r>
          </w:p>
        </w:tc>
        <w:tc>
          <w:tcPr>
            <w:tcW w:w="3165" w:type="dxa"/>
            <w:textDirection w:val="lrTb"/>
            <w:vAlign w:val="top"/>
          </w:tcPr>
          <w:p>
            <w:pPr>
              <w:numPr>
                <w:ilvl w:val="0"/>
                <w:numId w:val="1"/>
              </w:numPr>
              <w:snapToGrid w:val="0"/>
              <w:spacing w:line="288" w:lineRule="auto"/>
              <w:rPr>
                <w:rFonts w:hint="eastAsia" w:ascii="宋体" w:hAnsi="宋体"/>
                <w:color w:val="auto"/>
                <w:sz w:val="20"/>
                <w:szCs w:val="20"/>
              </w:rPr>
            </w:pPr>
            <w:r>
              <w:rPr>
                <w:rFonts w:hint="eastAsia" w:ascii="宋体" w:hAnsi="宋体"/>
                <w:color w:val="auto"/>
                <w:sz w:val="20"/>
                <w:szCs w:val="20"/>
              </w:rPr>
              <w:t>能够增强中国特色社会主义经济、政治、文化制度自信</w:t>
            </w:r>
          </w:p>
          <w:p>
            <w:pPr>
              <w:numPr>
                <w:ilvl w:val="0"/>
                <w:numId w:val="1"/>
              </w:numPr>
              <w:snapToGrid w:val="0"/>
              <w:spacing w:line="288" w:lineRule="auto"/>
              <w:rPr>
                <w:rFonts w:ascii="宋体" w:hAnsi="宋体"/>
                <w:color w:val="auto"/>
                <w:sz w:val="20"/>
                <w:szCs w:val="20"/>
              </w:rPr>
            </w:pPr>
            <w:r>
              <w:rPr>
                <w:rFonts w:hint="eastAsia" w:ascii="宋体" w:hAnsi="宋体"/>
                <w:color w:val="auto"/>
                <w:sz w:val="20"/>
                <w:szCs w:val="20"/>
              </w:rPr>
              <w:t>能够践行和谐社会理论，保护环境，节约资源</w:t>
            </w:r>
          </w:p>
          <w:p>
            <w:pPr>
              <w:numPr>
                <w:ilvl w:val="0"/>
                <w:numId w:val="1"/>
              </w:numPr>
              <w:snapToGrid w:val="0"/>
              <w:spacing w:line="288" w:lineRule="auto"/>
              <w:rPr>
                <w:rFonts w:ascii="宋体" w:hAnsi="宋体"/>
                <w:sz w:val="20"/>
                <w:szCs w:val="20"/>
              </w:rPr>
            </w:pPr>
            <w:r>
              <w:rPr>
                <w:rFonts w:hint="eastAsia" w:ascii="宋体" w:hAnsi="宋体"/>
                <w:sz w:val="20"/>
                <w:szCs w:val="20"/>
              </w:rPr>
              <w:t>通过撰写社会实践调查报告提升学生的自主学习能力、创新能力，信息应用能力</w:t>
            </w:r>
          </w:p>
          <w:p>
            <w:pPr>
              <w:numPr>
                <w:ilvl w:val="0"/>
                <w:numId w:val="1"/>
              </w:numPr>
              <w:snapToGrid w:val="0"/>
              <w:spacing w:line="288" w:lineRule="auto"/>
              <w:rPr>
                <w:rFonts w:ascii="宋体" w:hAnsi="宋体"/>
                <w:sz w:val="20"/>
                <w:szCs w:val="20"/>
              </w:rPr>
            </w:pPr>
            <w:r>
              <w:rPr>
                <w:rFonts w:hint="eastAsia" w:ascii="宋体" w:hAnsi="宋体"/>
                <w:sz w:val="20"/>
                <w:szCs w:val="20"/>
              </w:rPr>
              <w:t>通过课前时事政治点评，提升学生口语表达能力</w:t>
            </w:r>
            <w:r>
              <w:rPr>
                <w:rFonts w:hint="eastAsia" w:ascii="宋体" w:hAnsi="宋体"/>
                <w:sz w:val="20"/>
                <w:szCs w:val="20"/>
                <w:lang w:eastAsia="zh-CN"/>
              </w:rPr>
              <w:t>、</w:t>
            </w:r>
            <w:r>
              <w:rPr>
                <w:rFonts w:hint="eastAsia" w:ascii="宋体" w:hAnsi="宋体"/>
                <w:sz w:val="20"/>
                <w:szCs w:val="20"/>
              </w:rPr>
              <w:t>自主学习能力</w:t>
            </w:r>
            <w:r>
              <w:rPr>
                <w:rFonts w:hint="eastAsia" w:ascii="宋体" w:hAnsi="宋体"/>
                <w:sz w:val="20"/>
                <w:szCs w:val="20"/>
                <w:lang w:eastAsia="zh-CN"/>
              </w:rPr>
              <w:t>、</w:t>
            </w:r>
            <w:r>
              <w:rPr>
                <w:rFonts w:hint="eastAsia" w:ascii="宋体" w:hAnsi="宋体"/>
                <w:sz w:val="20"/>
                <w:szCs w:val="20"/>
              </w:rPr>
              <w:t>信息应用能力。</w:t>
            </w:r>
          </w:p>
          <w:p>
            <w:pPr>
              <w:snapToGrid w:val="0"/>
              <w:spacing w:line="288" w:lineRule="auto"/>
              <w:rPr>
                <w:rFonts w:ascii="宋体" w:hAnsi="宋体"/>
                <w:sz w:val="20"/>
                <w:szCs w:val="20"/>
              </w:rPr>
            </w:pP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社会主义市场经济理论的内涵；社会主义初级阶段的基本经济制度和收入分配制度；坚持和发展中国特色社会主义民主政治制度；文化强国战略实施的必要性及策略；构建社会主义和谐社会的意义；建设社会主要生态文明的必要性、总体要求以及具体路径。</w:t>
            </w:r>
          </w:p>
          <w:p>
            <w:pPr>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rPr>
              <w:t>推动经济持续健康发展的必要性以及采取的具体举措；正确理解社会主义社会的民主、自由和人权；社会主义核心价值体系的主要内容及其相互关系；如何推进以解决民生问题为重点的社会建设。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9</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实现祖国完全统一的理论</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了解“和平统一、一国两制”科学构想的内涵</w:t>
            </w:r>
          </w:p>
          <w:p>
            <w:pPr>
              <w:numPr>
                <w:ilvl w:val="0"/>
                <w:numId w:val="1"/>
              </w:numPr>
              <w:snapToGrid w:val="0"/>
              <w:spacing w:line="288" w:lineRule="auto"/>
              <w:rPr>
                <w:rFonts w:ascii="宋体" w:hAnsi="宋体"/>
                <w:sz w:val="20"/>
                <w:szCs w:val="20"/>
              </w:rPr>
            </w:pPr>
            <w:r>
              <w:rPr>
                <w:rFonts w:hint="eastAsia" w:ascii="宋体" w:hAnsi="宋体"/>
                <w:sz w:val="20"/>
                <w:szCs w:val="20"/>
              </w:rPr>
              <w:t>理解实现祖国统一是中华民族的根本利益</w:t>
            </w:r>
          </w:p>
          <w:p>
            <w:pPr>
              <w:numPr>
                <w:ilvl w:val="0"/>
                <w:numId w:val="1"/>
              </w:numPr>
              <w:snapToGrid w:val="0"/>
              <w:spacing w:line="288" w:lineRule="auto"/>
              <w:rPr>
                <w:rFonts w:ascii="宋体" w:hAnsi="宋体"/>
                <w:sz w:val="20"/>
                <w:szCs w:val="20"/>
              </w:rPr>
            </w:pPr>
            <w:r>
              <w:rPr>
                <w:rFonts w:hint="eastAsia" w:ascii="宋体" w:hAnsi="宋体"/>
                <w:sz w:val="20"/>
                <w:szCs w:val="20"/>
              </w:rPr>
              <w:t>理解“和平统一、一国两制”科学构想形成的历史过程</w:t>
            </w:r>
          </w:p>
        </w:tc>
        <w:tc>
          <w:tcPr>
            <w:tcW w:w="3165" w:type="dxa"/>
            <w:textDirection w:val="lrTb"/>
            <w:vAlign w:val="top"/>
          </w:tcPr>
          <w:p>
            <w:pPr>
              <w:numPr>
                <w:ilvl w:val="0"/>
                <w:numId w:val="1"/>
              </w:numPr>
              <w:snapToGrid w:val="0"/>
              <w:spacing w:line="288" w:lineRule="auto"/>
              <w:rPr>
                <w:rFonts w:ascii="宋体" w:hAnsi="宋体"/>
                <w:color w:val="auto"/>
                <w:sz w:val="20"/>
                <w:szCs w:val="20"/>
              </w:rPr>
            </w:pPr>
            <w:r>
              <w:rPr>
                <w:rFonts w:hint="eastAsia" w:ascii="宋体" w:hAnsi="宋体"/>
                <w:color w:val="auto"/>
                <w:sz w:val="20"/>
                <w:szCs w:val="20"/>
              </w:rPr>
              <w:t>增强学生爱国主义精神，自觉维护国家统一，反对破坏国家统一的言论和行为。</w:t>
            </w:r>
          </w:p>
          <w:p>
            <w:pPr>
              <w:numPr>
                <w:ilvl w:val="0"/>
                <w:numId w:val="1"/>
              </w:numPr>
              <w:snapToGrid w:val="0"/>
              <w:spacing w:line="288" w:lineRule="auto"/>
              <w:ind w:left="420" w:leftChars="0" w:hanging="420" w:firstLineChars="0"/>
              <w:rPr>
                <w:rFonts w:ascii="宋体" w:hAnsi="宋体"/>
                <w:sz w:val="20"/>
                <w:szCs w:val="20"/>
              </w:rPr>
            </w:pPr>
            <w:r>
              <w:rPr>
                <w:rFonts w:hint="eastAsia" w:ascii="宋体" w:hAnsi="宋体"/>
                <w:color w:val="auto"/>
                <w:sz w:val="20"/>
                <w:szCs w:val="20"/>
              </w:rPr>
              <w:t>通过课前演</w:t>
            </w:r>
            <w:r>
              <w:rPr>
                <w:rFonts w:hint="eastAsia" w:ascii="宋体" w:hAnsi="宋体"/>
                <w:sz w:val="20"/>
                <w:szCs w:val="20"/>
              </w:rPr>
              <w:t>讲和讨论提升学生的语言表达能力和团结协作能力。</w:t>
            </w: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“和平统一、一国两制”构想的形成、发展及其基本内容和重要意义。</w:t>
            </w:r>
          </w:p>
          <w:p>
            <w:pPr>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rPr>
              <w:t>新形势下对台湾工作方针。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10</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中国特色社会主义外交和国际战略</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了解我国独立自主和平外交政策</w:t>
            </w:r>
          </w:p>
          <w:p>
            <w:pPr>
              <w:numPr>
                <w:ilvl w:val="0"/>
                <w:numId w:val="1"/>
              </w:numPr>
              <w:snapToGrid w:val="0"/>
              <w:spacing w:line="288" w:lineRule="auto"/>
              <w:rPr>
                <w:rFonts w:ascii="宋体" w:hAnsi="宋体"/>
                <w:sz w:val="20"/>
                <w:szCs w:val="20"/>
              </w:rPr>
            </w:pPr>
            <w:r>
              <w:rPr>
                <w:rFonts w:hint="eastAsia" w:ascii="宋体" w:hAnsi="宋体"/>
                <w:sz w:val="20"/>
                <w:szCs w:val="20"/>
              </w:rPr>
              <w:t>理解和平发展是当今时代主体的科学论断、中国和平发展的道路的意义</w:t>
            </w:r>
          </w:p>
        </w:tc>
        <w:tc>
          <w:tcPr>
            <w:tcW w:w="3165" w:type="dxa"/>
            <w:textDirection w:val="lrTb"/>
            <w:vAlign w:val="top"/>
          </w:tcPr>
          <w:p>
            <w:pPr>
              <w:numPr>
                <w:ilvl w:val="0"/>
                <w:numId w:val="1"/>
              </w:numPr>
              <w:snapToGrid w:val="0"/>
              <w:spacing w:line="288" w:lineRule="auto"/>
              <w:rPr>
                <w:rFonts w:ascii="宋体" w:hAnsi="宋体"/>
                <w:color w:val="auto"/>
                <w:sz w:val="20"/>
                <w:szCs w:val="20"/>
                <w:highlight w:val="none"/>
              </w:rPr>
            </w:pPr>
            <w:r>
              <w:rPr>
                <w:rFonts w:hint="eastAsia" w:ascii="宋体" w:hAnsi="宋体"/>
                <w:color w:val="auto"/>
                <w:sz w:val="20"/>
                <w:szCs w:val="20"/>
                <w:highlight w:val="none"/>
              </w:rPr>
              <w:t>能理性看待当今国际关系，自觉维护国家利益。</w:t>
            </w:r>
          </w:p>
          <w:p>
            <w:pPr>
              <w:numPr>
                <w:ilvl w:val="0"/>
                <w:numId w:val="1"/>
              </w:numPr>
              <w:snapToGrid w:val="0"/>
              <w:spacing w:line="288" w:lineRule="auto"/>
              <w:ind w:left="420" w:leftChars="0" w:hanging="420" w:firstLineChars="0"/>
              <w:rPr>
                <w:rFonts w:ascii="宋体" w:hAnsi="宋体"/>
                <w:color w:val="auto"/>
                <w:sz w:val="20"/>
                <w:szCs w:val="20"/>
                <w:highlight w:val="none"/>
              </w:rPr>
            </w:pPr>
            <w:r>
              <w:rPr>
                <w:rFonts w:hint="eastAsia" w:ascii="宋体" w:hAnsi="宋体"/>
                <w:color w:val="auto"/>
                <w:sz w:val="20"/>
                <w:szCs w:val="20"/>
                <w:highlight w:val="none"/>
              </w:rPr>
              <w:t>通过国际关系对比</w:t>
            </w:r>
            <w:r>
              <w:rPr>
                <w:rFonts w:hint="eastAsia" w:ascii="宋体" w:hAnsi="宋体"/>
                <w:color w:val="auto"/>
                <w:sz w:val="20"/>
                <w:szCs w:val="20"/>
                <w:highlight w:val="none"/>
                <w:lang w:eastAsia="zh-CN"/>
              </w:rPr>
              <w:t>拓</w:t>
            </w:r>
            <w:r>
              <w:rPr>
                <w:rFonts w:hint="eastAsia" w:ascii="宋体" w:hAnsi="宋体"/>
                <w:color w:val="auto"/>
                <w:sz w:val="20"/>
                <w:szCs w:val="20"/>
                <w:highlight w:val="none"/>
              </w:rPr>
              <w:t>学生的国际视野。</w:t>
            </w:r>
          </w:p>
        </w:tc>
        <w:tc>
          <w:tcPr>
            <w:tcW w:w="1735" w:type="dxa"/>
            <w:vAlign w:val="top"/>
          </w:tcPr>
          <w:p>
            <w:pPr>
              <w:snapToGrid w:val="0"/>
              <w:spacing w:line="288" w:lineRule="auto"/>
              <w:rPr>
                <w:rFonts w:hint="eastAsia" w:ascii="宋体" w:hAnsi="宋体" w:eastAsia="宋体" w:cs="Times New Roman"/>
                <w:color w:val="000000"/>
                <w:sz w:val="20"/>
                <w:szCs w:val="20"/>
                <w:lang w:val="en-US" w:eastAsia="zh-CN" w:bidi="ar-SA"/>
              </w:rPr>
            </w:pPr>
            <w:r>
              <w:rPr>
                <w:rFonts w:hint="eastAsia" w:ascii="宋体" w:hAnsi="宋体" w:eastAsia="宋体" w:cs="Times New Roman"/>
                <w:b/>
                <w:bCs/>
                <w:color w:val="000000"/>
                <w:sz w:val="20"/>
                <w:szCs w:val="20"/>
                <w:lang w:val="en-US" w:eastAsia="zh-CN" w:bidi="ar-SA"/>
              </w:rPr>
              <w:t>重点</w:t>
            </w:r>
            <w:r>
              <w:rPr>
                <w:rFonts w:hint="eastAsia" w:ascii="宋体" w:hAnsi="宋体" w:eastAsia="宋体" w:cs="Times New Roman"/>
                <w:color w:val="000000"/>
                <w:sz w:val="20"/>
                <w:szCs w:val="20"/>
                <w:lang w:val="en-US" w:eastAsia="zh-CN" w:bidi="ar-SA"/>
              </w:rPr>
              <w:t>：中国为什么要坚持走和平发展的道路；实施互利共赢的开发战略。</w:t>
            </w:r>
          </w:p>
          <w:p>
            <w:pPr>
              <w:snapToGrid w:val="0"/>
              <w:spacing w:line="288" w:lineRule="auto"/>
              <w:rPr>
                <w:rFonts w:hint="eastAsia" w:ascii="宋体" w:hAnsi="宋体" w:eastAsia="宋体" w:cs="Times New Roman"/>
                <w:color w:val="000000"/>
                <w:sz w:val="20"/>
                <w:szCs w:val="20"/>
                <w:lang w:val="en-US" w:eastAsia="zh-CN" w:bidi="ar-SA"/>
              </w:rPr>
            </w:pPr>
            <w:r>
              <w:rPr>
                <w:rFonts w:hint="eastAsia" w:ascii="宋体" w:hAnsi="宋体" w:eastAsia="宋体" w:cs="Times New Roman"/>
                <w:b/>
                <w:bCs/>
                <w:color w:val="000000"/>
                <w:sz w:val="20"/>
                <w:szCs w:val="20"/>
                <w:lang w:val="en-US" w:eastAsia="zh-CN" w:bidi="ar-SA"/>
              </w:rPr>
              <w:t>难点：</w:t>
            </w:r>
            <w:r>
              <w:rPr>
                <w:rFonts w:hint="eastAsia" w:ascii="宋体" w:hAnsi="宋体" w:eastAsia="宋体" w:cs="Times New Roman"/>
                <w:color w:val="000000"/>
                <w:sz w:val="20"/>
                <w:szCs w:val="20"/>
                <w:lang w:val="en-US" w:eastAsia="zh-CN" w:bidi="ar-SA"/>
              </w:rPr>
              <w:t>推动建设持久和平、共同繁荣的和谐世界。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11</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建设中国特色社会主义的根本目的和依靠力量</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了解中国特色社会主义建设必须坚定地依靠中国最广大的人民群众，必须巩固和发展统一战线，必须加强人民军队建设和国防建设</w:t>
            </w:r>
          </w:p>
          <w:p>
            <w:pPr>
              <w:numPr>
                <w:ilvl w:val="0"/>
                <w:numId w:val="1"/>
              </w:numPr>
              <w:snapToGrid w:val="0"/>
              <w:spacing w:line="288" w:lineRule="auto"/>
              <w:rPr>
                <w:rFonts w:ascii="宋体" w:hAnsi="宋体"/>
                <w:sz w:val="20"/>
                <w:szCs w:val="20"/>
              </w:rPr>
            </w:pPr>
            <w:r>
              <w:rPr>
                <w:rFonts w:hint="eastAsia" w:ascii="宋体" w:hAnsi="宋体"/>
                <w:sz w:val="20"/>
                <w:szCs w:val="20"/>
              </w:rPr>
              <w:t>了解建设中国特色社会主义必须依靠的五种力量</w:t>
            </w:r>
          </w:p>
        </w:tc>
        <w:tc>
          <w:tcPr>
            <w:tcW w:w="3165" w:type="dxa"/>
            <w:textDirection w:val="lrTb"/>
            <w:vAlign w:val="top"/>
          </w:tcPr>
          <w:p>
            <w:pPr>
              <w:numPr>
                <w:ilvl w:val="0"/>
                <w:numId w:val="1"/>
              </w:numPr>
              <w:snapToGrid w:val="0"/>
              <w:spacing w:line="288" w:lineRule="auto"/>
              <w:rPr>
                <w:rFonts w:ascii="宋体" w:hAnsi="宋体"/>
                <w:color w:val="auto"/>
                <w:sz w:val="20"/>
                <w:szCs w:val="20"/>
              </w:rPr>
            </w:pPr>
            <w:r>
              <w:rPr>
                <w:rFonts w:hint="eastAsia" w:ascii="宋体" w:hAnsi="宋体"/>
                <w:color w:val="auto"/>
                <w:sz w:val="20"/>
                <w:szCs w:val="20"/>
              </w:rPr>
              <w:t>树立群众观点，能正确处理自己所处社会关系，尊重他人，努力学习，自觉投入中国特色社会主义建设。</w:t>
            </w:r>
          </w:p>
          <w:p>
            <w:pPr>
              <w:numPr>
                <w:ilvl w:val="0"/>
                <w:numId w:val="1"/>
              </w:numPr>
              <w:snapToGrid w:val="0"/>
              <w:spacing w:line="288" w:lineRule="auto"/>
              <w:ind w:left="420" w:leftChars="0" w:hanging="420" w:firstLineChars="0"/>
              <w:rPr>
                <w:rFonts w:ascii="宋体" w:hAnsi="宋体"/>
                <w:color w:val="auto"/>
                <w:sz w:val="20"/>
                <w:szCs w:val="20"/>
              </w:rPr>
            </w:pPr>
            <w:r>
              <w:rPr>
                <w:rFonts w:ascii="宋体" w:hAnsi="宋体"/>
                <w:color w:val="auto"/>
                <w:sz w:val="20"/>
                <w:szCs w:val="20"/>
              </w:rPr>
              <w:t>讨论中国当前的军队改革问题（例如裁军），</w:t>
            </w:r>
            <w:r>
              <w:rPr>
                <w:rFonts w:hint="eastAsia" w:ascii="宋体" w:hAnsi="宋体"/>
                <w:color w:val="auto"/>
                <w:sz w:val="20"/>
                <w:szCs w:val="20"/>
              </w:rPr>
              <w:t>提升学生自主学习能力和表达沟通能力。</w:t>
            </w: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：建设中国特色社会主义的根本目的。</w:t>
            </w:r>
          </w:p>
          <w:p>
            <w:pPr>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rPr>
              <w:t>：经济社会发展和人的全面发展的辩证统一关系。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napToGrid w:val="0"/>
              <w:spacing w:line="288" w:lineRule="auto"/>
              <w:rPr>
                <w:rFonts w:ascii="宋体" w:hAnsi="宋体"/>
                <w:sz w:val="20"/>
                <w:szCs w:val="20"/>
              </w:rPr>
            </w:pPr>
            <w:r>
              <w:rPr>
                <w:rFonts w:hint="eastAsia" w:ascii="宋体" w:hAnsi="宋体"/>
                <w:sz w:val="20"/>
                <w:szCs w:val="20"/>
              </w:rPr>
              <w:t>12</w:t>
            </w:r>
          </w:p>
        </w:tc>
        <w:tc>
          <w:tcPr>
            <w:tcW w:w="1305" w:type="dxa"/>
            <w:vAlign w:val="top"/>
          </w:tcPr>
          <w:p>
            <w:pPr>
              <w:snapToGrid w:val="0"/>
              <w:spacing w:line="288" w:lineRule="auto"/>
              <w:rPr>
                <w:rFonts w:ascii="宋体" w:hAnsi="宋体"/>
                <w:sz w:val="20"/>
                <w:szCs w:val="20"/>
              </w:rPr>
            </w:pPr>
            <w:r>
              <w:rPr>
                <w:rFonts w:hint="eastAsia" w:ascii="宋体" w:hAnsi="宋体"/>
                <w:sz w:val="20"/>
                <w:szCs w:val="20"/>
              </w:rPr>
              <w:t>建设中国特色社会主义的领导核心</w:t>
            </w:r>
          </w:p>
        </w:tc>
        <w:tc>
          <w:tcPr>
            <w:tcW w:w="3090" w:type="dxa"/>
            <w:vAlign w:val="top"/>
          </w:tcPr>
          <w:p>
            <w:pPr>
              <w:numPr>
                <w:ilvl w:val="0"/>
                <w:numId w:val="1"/>
              </w:numPr>
              <w:snapToGrid w:val="0"/>
              <w:spacing w:line="288" w:lineRule="auto"/>
              <w:rPr>
                <w:rFonts w:ascii="宋体" w:hAnsi="宋体"/>
                <w:sz w:val="20"/>
                <w:szCs w:val="20"/>
              </w:rPr>
            </w:pPr>
            <w:r>
              <w:rPr>
                <w:rFonts w:hint="eastAsia" w:ascii="宋体" w:hAnsi="宋体"/>
                <w:sz w:val="20"/>
                <w:szCs w:val="20"/>
              </w:rPr>
              <w:t>了解中国共产党是社会主义现代化事业建设的根本保证</w:t>
            </w:r>
          </w:p>
          <w:p>
            <w:pPr>
              <w:numPr>
                <w:ilvl w:val="0"/>
                <w:numId w:val="1"/>
              </w:numPr>
              <w:snapToGrid w:val="0"/>
              <w:spacing w:line="288" w:lineRule="auto"/>
              <w:rPr>
                <w:rFonts w:ascii="宋体" w:hAnsi="宋体"/>
                <w:sz w:val="20"/>
                <w:szCs w:val="20"/>
              </w:rPr>
            </w:pPr>
            <w:r>
              <w:rPr>
                <w:rFonts w:hint="eastAsia" w:ascii="宋体" w:hAnsi="宋体"/>
                <w:sz w:val="20"/>
                <w:szCs w:val="20"/>
              </w:rPr>
              <w:t>理解坚持党的领导必须改善党的领导</w:t>
            </w:r>
          </w:p>
          <w:p>
            <w:pPr>
              <w:numPr>
                <w:ilvl w:val="0"/>
                <w:numId w:val="1"/>
              </w:numPr>
              <w:snapToGrid w:val="0"/>
              <w:spacing w:line="288" w:lineRule="auto"/>
              <w:rPr>
                <w:rFonts w:ascii="宋体" w:hAnsi="宋体"/>
                <w:sz w:val="20"/>
                <w:szCs w:val="20"/>
              </w:rPr>
            </w:pPr>
            <w:r>
              <w:rPr>
                <w:rFonts w:hint="eastAsia" w:ascii="宋体" w:hAnsi="宋体"/>
                <w:sz w:val="20"/>
                <w:szCs w:val="20"/>
              </w:rPr>
              <w:t>理解提高党的建设水平的重要意义和途径</w:t>
            </w:r>
          </w:p>
          <w:p>
            <w:pPr>
              <w:numPr>
                <w:ilvl w:val="0"/>
                <w:numId w:val="1"/>
              </w:numPr>
              <w:snapToGrid w:val="0"/>
              <w:spacing w:line="288" w:lineRule="auto"/>
              <w:rPr>
                <w:rFonts w:ascii="宋体" w:hAnsi="宋体"/>
                <w:sz w:val="20"/>
                <w:szCs w:val="20"/>
              </w:rPr>
            </w:pPr>
            <w:r>
              <w:rPr>
                <w:rFonts w:hint="eastAsia" w:ascii="宋体" w:hAnsi="宋体"/>
                <w:sz w:val="20"/>
                <w:szCs w:val="20"/>
              </w:rPr>
              <w:t>了解全面从严治党的必要性及途径</w:t>
            </w:r>
          </w:p>
        </w:tc>
        <w:tc>
          <w:tcPr>
            <w:tcW w:w="3165" w:type="dxa"/>
            <w:textDirection w:val="lrTb"/>
            <w:vAlign w:val="top"/>
          </w:tcPr>
          <w:p>
            <w:pPr>
              <w:numPr>
                <w:ilvl w:val="0"/>
                <w:numId w:val="1"/>
              </w:numPr>
              <w:snapToGrid w:val="0"/>
              <w:spacing w:line="288" w:lineRule="auto"/>
              <w:rPr>
                <w:rFonts w:ascii="宋体" w:hAnsi="宋体"/>
                <w:color w:val="auto"/>
                <w:sz w:val="20"/>
                <w:szCs w:val="20"/>
              </w:rPr>
            </w:pPr>
            <w:r>
              <w:rPr>
                <w:rFonts w:hint="eastAsia" w:ascii="宋体" w:hAnsi="宋体"/>
                <w:color w:val="auto"/>
                <w:sz w:val="20"/>
                <w:szCs w:val="20"/>
              </w:rPr>
              <w:t>学生积极拥护党的政策，积极向党组织靠拢</w:t>
            </w:r>
          </w:p>
          <w:p>
            <w:pPr>
              <w:numPr>
                <w:ilvl w:val="0"/>
                <w:numId w:val="1"/>
              </w:numPr>
              <w:snapToGrid w:val="0"/>
              <w:spacing w:line="288" w:lineRule="auto"/>
              <w:rPr>
                <w:rFonts w:hint="eastAsia" w:ascii="宋体" w:hAnsi="宋体"/>
                <w:color w:val="auto"/>
                <w:sz w:val="20"/>
                <w:szCs w:val="20"/>
              </w:rPr>
            </w:pPr>
            <w:r>
              <w:rPr>
                <w:rFonts w:hint="eastAsia" w:ascii="宋体" w:hAnsi="宋体"/>
                <w:color w:val="auto"/>
                <w:sz w:val="20"/>
                <w:szCs w:val="20"/>
              </w:rPr>
              <w:t>通过讨论总结形式锻炼学生的口</w:t>
            </w:r>
          </w:p>
          <w:p>
            <w:pPr>
              <w:numPr>
                <w:ilvl w:val="0"/>
                <w:numId w:val="1"/>
              </w:numPr>
              <w:snapToGrid w:val="0"/>
              <w:spacing w:line="288" w:lineRule="auto"/>
              <w:ind w:left="420" w:leftChars="0" w:hanging="420" w:firstLineChars="0"/>
              <w:rPr>
                <w:rFonts w:ascii="宋体" w:hAnsi="宋体"/>
                <w:color w:val="auto"/>
                <w:sz w:val="20"/>
                <w:szCs w:val="20"/>
              </w:rPr>
            </w:pPr>
            <w:r>
              <w:rPr>
                <w:rFonts w:hint="eastAsia" w:ascii="宋体" w:hAnsi="宋体"/>
                <w:color w:val="auto"/>
                <w:sz w:val="20"/>
                <w:szCs w:val="20"/>
              </w:rPr>
              <w:t>讨论中国当今的反腐败问题，提升学生自主学习能力和表达沟通能力。</w:t>
            </w:r>
          </w:p>
        </w:tc>
        <w:tc>
          <w:tcPr>
            <w:tcW w:w="1735" w:type="dxa"/>
            <w:vAlign w:val="top"/>
          </w:tcPr>
          <w:p>
            <w:pPr>
              <w:snapToGrid w:val="0"/>
              <w:spacing w:line="288" w:lineRule="auto"/>
              <w:rPr>
                <w:rFonts w:hint="eastAsia" w:ascii="宋体" w:hAnsi="宋体"/>
                <w:sz w:val="20"/>
                <w:szCs w:val="20"/>
              </w:rPr>
            </w:pPr>
            <w:r>
              <w:rPr>
                <w:rFonts w:hint="eastAsia" w:ascii="宋体" w:hAnsi="宋体"/>
                <w:b/>
                <w:bCs/>
                <w:sz w:val="20"/>
                <w:szCs w:val="20"/>
              </w:rPr>
              <w:t>重点：</w:t>
            </w:r>
            <w:r>
              <w:rPr>
                <w:rFonts w:hint="eastAsia" w:ascii="宋体" w:hAnsi="宋体"/>
                <w:sz w:val="20"/>
                <w:szCs w:val="20"/>
              </w:rPr>
              <w:t>坚持党的领导为什么必须改善党的领导；在新的条件下如何提高党的建设科学化水平</w:t>
            </w:r>
            <w:r>
              <w:rPr>
                <w:rFonts w:hint="eastAsia" w:ascii="宋体" w:hAnsi="宋体"/>
                <w:sz w:val="20"/>
                <w:szCs w:val="20"/>
                <w:lang w:eastAsia="zh-CN"/>
              </w:rPr>
              <w:t>；全面从严治党的基本途径。</w:t>
            </w:r>
          </w:p>
          <w:p>
            <w:pPr>
              <w:snapToGrid w:val="0"/>
              <w:spacing w:line="288" w:lineRule="auto"/>
              <w:rPr>
                <w:rFonts w:hint="eastAsia" w:ascii="宋体" w:hAnsi="宋体"/>
                <w:sz w:val="20"/>
                <w:szCs w:val="20"/>
              </w:rPr>
            </w:pPr>
            <w:r>
              <w:rPr>
                <w:rFonts w:hint="eastAsia" w:ascii="宋体" w:hAnsi="宋体"/>
                <w:b/>
                <w:bCs/>
                <w:sz w:val="20"/>
                <w:szCs w:val="20"/>
              </w:rPr>
              <w:t>难点：</w:t>
            </w:r>
            <w:r>
              <w:rPr>
                <w:rFonts w:hint="eastAsia" w:ascii="宋体" w:hAnsi="宋体"/>
                <w:sz w:val="20"/>
                <w:szCs w:val="20"/>
                <w:lang w:eastAsia="zh-CN"/>
              </w:rPr>
              <w:t>如何加强党的先进性和纯洁性建设</w:t>
            </w:r>
          </w:p>
        </w:tc>
      </w:tr>
    </w:tbl>
    <w:p>
      <w:pPr>
        <w:snapToGrid w:val="0"/>
        <w:spacing w:line="288" w:lineRule="auto"/>
        <w:ind w:right="2520"/>
        <w:rPr>
          <w:color w:val="000000"/>
          <w:sz w:val="20"/>
          <w:szCs w:val="20"/>
        </w:rPr>
      </w:pPr>
    </w:p>
    <w:p>
      <w:pPr>
        <w:widowControl/>
        <w:spacing w:beforeLines="50" w:afterLines="50" w:line="288" w:lineRule="auto"/>
        <w:jc w:val="left"/>
        <w:rPr>
          <w:rFonts w:hint="eastAsia" w:ascii="黑体" w:hAnsi="宋体" w:eastAsia="黑体"/>
          <w:sz w:val="24"/>
        </w:rPr>
      </w:pPr>
      <w:r>
        <w:rPr>
          <w:rFonts w:hint="eastAsia" w:ascii="黑体" w:hAnsi="宋体" w:eastAsia="黑体"/>
          <w:sz w:val="24"/>
        </w:rPr>
        <w:t xml:space="preserve">   </w:t>
      </w:r>
      <w:r>
        <w:rPr>
          <w:rFonts w:hint="eastAsia" w:ascii="黑体" w:hAnsi="宋体" w:eastAsia="黑体"/>
          <w:sz w:val="24"/>
          <w:lang w:eastAsia="zh-CN"/>
        </w:rPr>
        <w:t>七</w:t>
      </w:r>
      <w:r>
        <w:rPr>
          <w:rFonts w:hint="eastAsia" w:ascii="黑体" w:hAnsi="宋体" w:eastAsia="黑体"/>
          <w:sz w:val="24"/>
        </w:rPr>
        <w:t>、评价方式与成绩</w:t>
      </w:r>
    </w:p>
    <w:p>
      <w:pPr>
        <w:widowControl w:val="0"/>
        <w:spacing w:before="0" w:beforeAutospacing="0" w:after="0" w:afterAutospacing="0" w:line="360" w:lineRule="auto"/>
        <w:ind w:left="0" w:right="0" w:firstLine="402" w:firstLineChars="200"/>
        <w:jc w:val="both"/>
        <w:rPr>
          <w:color w:val="000000"/>
          <w:sz w:val="20"/>
          <w:szCs w:val="20"/>
          <w:lang w:val="en-US"/>
        </w:rPr>
      </w:pPr>
      <w:r>
        <w:rPr>
          <w:rFonts w:hint="eastAsia" w:ascii="宋体" w:hAnsi="宋体" w:eastAsia="宋体" w:cs="Tahoma"/>
          <w:b/>
          <w:color w:val="000000"/>
          <w:kern w:val="0"/>
          <w:sz w:val="20"/>
          <w:szCs w:val="20"/>
          <w:lang w:val="en-US" w:eastAsia="zh-CN" w:bidi="ar-SA"/>
        </w:rPr>
        <w:t>1.考核方式：</w:t>
      </w:r>
      <w:r>
        <w:rPr>
          <w:rFonts w:hint="eastAsia" w:ascii="Times New Roman" w:hAnsi="Times New Roman" w:eastAsia="宋体" w:cs="宋体"/>
          <w:color w:val="000000"/>
          <w:kern w:val="2"/>
          <w:sz w:val="20"/>
          <w:szCs w:val="20"/>
          <w:lang w:val="en-US" w:eastAsia="zh-CN" w:bidi="ar-SA"/>
        </w:rPr>
        <w:t>考查课。</w:t>
      </w:r>
    </w:p>
    <w:p>
      <w:pPr>
        <w:widowControl/>
        <w:snapToGrid w:val="0"/>
        <w:spacing w:before="31" w:beforeAutospacing="0" w:after="31" w:afterAutospacing="0" w:line="360" w:lineRule="auto"/>
        <w:ind w:left="0" w:right="0" w:firstLine="402" w:firstLineChars="200"/>
        <w:jc w:val="left"/>
        <w:rPr>
          <w:rFonts w:hint="eastAsia" w:ascii="宋体" w:hAnsi="宋体" w:eastAsia="宋体" w:cs="Tahoma"/>
          <w:color w:val="000000"/>
          <w:kern w:val="0"/>
          <w:sz w:val="20"/>
          <w:szCs w:val="20"/>
          <w:lang w:val="en-US"/>
        </w:rPr>
      </w:pPr>
      <w:r>
        <w:rPr>
          <w:rFonts w:hint="eastAsia" w:ascii="宋体" w:hAnsi="宋体" w:eastAsia="宋体" w:cs="Tahoma"/>
          <w:b/>
          <w:color w:val="000000"/>
          <w:kern w:val="0"/>
          <w:sz w:val="20"/>
          <w:szCs w:val="20"/>
          <w:lang w:val="en-US" w:eastAsia="zh-CN" w:bidi="ar-SA"/>
        </w:rPr>
        <w:t>2．成绩评定：</w:t>
      </w:r>
      <w:r>
        <w:rPr>
          <w:rFonts w:hint="eastAsia" w:ascii="宋体" w:hAnsi="宋体" w:eastAsia="宋体" w:cs="Tahoma"/>
          <w:color w:val="000000"/>
          <w:kern w:val="0"/>
          <w:sz w:val="20"/>
          <w:szCs w:val="20"/>
          <w:lang w:val="en-US" w:eastAsia="zh-CN" w:bidi="ar-SA"/>
        </w:rPr>
        <w:t>按照“1+X”的方式对学生进行成绩评定。“1”为期终开卷考，占总</w:t>
      </w:r>
      <w:r>
        <w:rPr>
          <w:rFonts w:hint="eastAsia" w:ascii="宋体" w:hAnsi="宋体" w:cs="Tahoma"/>
          <w:color w:val="000000"/>
          <w:kern w:val="0"/>
          <w:sz w:val="20"/>
          <w:szCs w:val="20"/>
          <w:lang w:val="en-US" w:eastAsia="zh-CN" w:bidi="ar-SA"/>
        </w:rPr>
        <w:t>评</w:t>
      </w:r>
      <w:r>
        <w:rPr>
          <w:rFonts w:hint="eastAsia" w:ascii="宋体" w:hAnsi="宋体" w:eastAsia="宋体" w:cs="Tahoma"/>
          <w:color w:val="000000"/>
          <w:kern w:val="0"/>
          <w:sz w:val="20"/>
          <w:szCs w:val="20"/>
          <w:lang w:val="en-US" w:eastAsia="zh-CN" w:bidi="ar-SA"/>
        </w:rPr>
        <w:t>成绩的30%，“X”为平时的数次考核成绩，共占总</w:t>
      </w:r>
      <w:r>
        <w:rPr>
          <w:rFonts w:hint="eastAsia" w:ascii="宋体" w:hAnsi="宋体" w:cs="Tahoma"/>
          <w:color w:val="000000"/>
          <w:kern w:val="0"/>
          <w:sz w:val="20"/>
          <w:szCs w:val="20"/>
          <w:lang w:val="en-US" w:eastAsia="zh-CN" w:bidi="ar-SA"/>
        </w:rPr>
        <w:t>评</w:t>
      </w:r>
      <w:r>
        <w:rPr>
          <w:rFonts w:hint="eastAsia" w:ascii="宋体" w:hAnsi="宋体" w:eastAsia="宋体" w:cs="Tahoma"/>
          <w:color w:val="000000"/>
          <w:kern w:val="0"/>
          <w:sz w:val="20"/>
          <w:szCs w:val="20"/>
          <w:lang w:val="en-US" w:eastAsia="zh-CN" w:bidi="ar-SA"/>
        </w:rPr>
        <w:t>成绩的70%。</w:t>
      </w:r>
      <w:r>
        <w:rPr>
          <w:rFonts w:hint="eastAsia" w:ascii="宋体" w:hAnsi="宋体" w:eastAsia="宋体" w:cs="Tahoma"/>
          <w:b/>
          <w:color w:val="000000"/>
          <w:kern w:val="0"/>
          <w:sz w:val="20"/>
          <w:szCs w:val="20"/>
          <w:lang w:val="en-US" w:eastAsia="zh-CN" w:bidi="ar-SA"/>
        </w:rPr>
        <w:t>X由以下几部分构成：</w:t>
      </w:r>
    </w:p>
    <w:p>
      <w:pPr>
        <w:widowControl/>
        <w:snapToGrid w:val="0"/>
        <w:spacing w:before="31" w:beforeAutospacing="0" w:after="31" w:afterAutospacing="0" w:line="360" w:lineRule="auto"/>
        <w:ind w:left="0" w:right="0" w:firstLine="440" w:firstLineChars="200"/>
        <w:jc w:val="left"/>
        <w:rPr>
          <w:rFonts w:hint="eastAsia" w:ascii="宋体" w:hAnsi="宋体" w:eastAsia="宋体" w:cs="Tahoma"/>
          <w:color w:val="000000"/>
          <w:kern w:val="0"/>
          <w:sz w:val="20"/>
          <w:szCs w:val="20"/>
          <w:lang w:val="en-US"/>
        </w:rPr>
      </w:pPr>
      <w:r>
        <w:rPr>
          <w:rFonts w:hint="default" w:ascii="宋体" w:hAnsi="宋体" w:eastAsia="宋体" w:cs="Tahoma"/>
          <w:color w:val="000000"/>
          <w:kern w:val="0"/>
          <w:sz w:val="22"/>
          <w:szCs w:val="22"/>
          <w:lang w:val="en-US" w:eastAsia="zh-CN" w:bidi="ar-SA"/>
        </w:rPr>
        <w:sym w:font="Wingdings" w:char="0081"/>
      </w:r>
      <w:r>
        <w:rPr>
          <w:rFonts w:hint="eastAsia" w:ascii="宋体" w:hAnsi="宋体" w:cs="Tahoma"/>
          <w:color w:val="000000"/>
          <w:kern w:val="0"/>
          <w:sz w:val="22"/>
          <w:szCs w:val="22"/>
          <w:lang w:val="en-US" w:eastAsia="zh-CN" w:bidi="ar-SA"/>
        </w:rPr>
        <w:t>社会实践调研</w:t>
      </w:r>
      <w:r>
        <w:rPr>
          <w:rFonts w:hint="eastAsia" w:ascii="宋体" w:hAnsi="宋体" w:eastAsia="宋体" w:cs="Tahoma"/>
          <w:color w:val="000000"/>
          <w:kern w:val="0"/>
          <w:sz w:val="20"/>
          <w:szCs w:val="20"/>
          <w:lang w:val="en-US" w:eastAsia="zh-CN" w:bidi="ar-SA"/>
        </w:rPr>
        <w:t>：占</w:t>
      </w:r>
      <w:r>
        <w:rPr>
          <w:rFonts w:hint="eastAsia" w:ascii="宋体" w:hAnsi="宋体" w:cs="Tahoma"/>
          <w:color w:val="000000"/>
          <w:kern w:val="0"/>
          <w:sz w:val="20"/>
          <w:szCs w:val="20"/>
          <w:lang w:val="en-US" w:eastAsia="zh-CN" w:bidi="ar-SA"/>
        </w:rPr>
        <w:t>总评</w:t>
      </w:r>
      <w:r>
        <w:rPr>
          <w:rFonts w:hint="eastAsia" w:ascii="宋体" w:hAnsi="宋体" w:eastAsia="宋体" w:cs="Tahoma"/>
          <w:color w:val="000000"/>
          <w:kern w:val="0"/>
          <w:sz w:val="20"/>
          <w:szCs w:val="20"/>
          <w:lang w:val="en-US" w:eastAsia="zh-CN" w:bidi="ar-SA"/>
        </w:rPr>
        <w:t>成绩的</w:t>
      </w:r>
      <w:r>
        <w:rPr>
          <w:rFonts w:hint="eastAsia" w:ascii="宋体" w:hAnsi="宋体" w:cs="Tahoma"/>
          <w:color w:val="000000"/>
          <w:kern w:val="0"/>
          <w:sz w:val="20"/>
          <w:szCs w:val="20"/>
          <w:lang w:val="en-US" w:eastAsia="zh-CN" w:bidi="ar-SA"/>
        </w:rPr>
        <w:t>2</w:t>
      </w:r>
      <w:r>
        <w:rPr>
          <w:rFonts w:hint="eastAsia" w:ascii="宋体" w:hAnsi="宋体" w:eastAsia="宋体" w:cs="Tahoma"/>
          <w:color w:val="000000"/>
          <w:kern w:val="0"/>
          <w:sz w:val="20"/>
          <w:szCs w:val="20"/>
          <w:lang w:val="en-US" w:eastAsia="zh-CN" w:bidi="ar-SA"/>
        </w:rPr>
        <w:t>0%；</w:t>
      </w:r>
    </w:p>
    <w:p>
      <w:pPr>
        <w:widowControl/>
        <w:snapToGrid w:val="0"/>
        <w:spacing w:before="31" w:beforeAutospacing="0" w:after="31" w:afterAutospacing="0" w:line="360" w:lineRule="auto"/>
        <w:ind w:left="0" w:right="0" w:firstLine="440" w:firstLineChars="200"/>
        <w:jc w:val="left"/>
        <w:rPr>
          <w:rFonts w:hint="eastAsia" w:ascii="宋体" w:hAnsi="宋体" w:eastAsia="宋体" w:cs="Tahoma"/>
          <w:color w:val="000000"/>
          <w:kern w:val="0"/>
          <w:sz w:val="20"/>
          <w:szCs w:val="20"/>
          <w:lang w:val="en-US"/>
        </w:rPr>
      </w:pPr>
      <w:r>
        <w:rPr>
          <w:rFonts w:hint="default" w:ascii="宋体" w:hAnsi="宋体" w:eastAsia="宋体" w:cs="Tahoma"/>
          <w:color w:val="000000"/>
          <w:kern w:val="0"/>
          <w:sz w:val="22"/>
          <w:szCs w:val="22"/>
          <w:lang w:val="en-US" w:eastAsia="zh-CN" w:bidi="ar-SA"/>
        </w:rPr>
        <w:sym w:font="Wingdings" w:char="0082"/>
      </w:r>
      <w:r>
        <w:rPr>
          <w:rFonts w:hint="eastAsia" w:ascii="宋体" w:hAnsi="宋体" w:eastAsia="宋体" w:cs="Tahoma"/>
          <w:color w:val="000000"/>
          <w:kern w:val="0"/>
          <w:sz w:val="20"/>
          <w:szCs w:val="20"/>
          <w:lang w:val="en-US" w:eastAsia="zh-CN" w:bidi="ar-SA"/>
        </w:rPr>
        <w:t>课堂测试：占</w:t>
      </w:r>
      <w:r>
        <w:rPr>
          <w:rFonts w:hint="eastAsia" w:ascii="宋体" w:hAnsi="宋体" w:cs="Tahoma"/>
          <w:color w:val="000000"/>
          <w:kern w:val="0"/>
          <w:sz w:val="20"/>
          <w:szCs w:val="20"/>
          <w:lang w:val="en-US" w:eastAsia="zh-CN" w:bidi="ar-SA"/>
        </w:rPr>
        <w:t>总评</w:t>
      </w:r>
      <w:r>
        <w:rPr>
          <w:rFonts w:hint="eastAsia" w:ascii="宋体" w:hAnsi="宋体" w:eastAsia="宋体" w:cs="Tahoma"/>
          <w:color w:val="000000"/>
          <w:kern w:val="0"/>
          <w:sz w:val="20"/>
          <w:szCs w:val="20"/>
          <w:lang w:val="en-US" w:eastAsia="zh-CN" w:bidi="ar-SA"/>
        </w:rPr>
        <w:t>成绩的</w:t>
      </w:r>
      <w:r>
        <w:rPr>
          <w:rFonts w:hint="eastAsia" w:ascii="宋体" w:hAnsi="宋体" w:cs="Tahoma"/>
          <w:color w:val="000000"/>
          <w:kern w:val="0"/>
          <w:sz w:val="20"/>
          <w:szCs w:val="20"/>
          <w:lang w:val="en-US" w:eastAsia="zh-CN" w:bidi="ar-SA"/>
        </w:rPr>
        <w:t>30</w:t>
      </w:r>
      <w:r>
        <w:rPr>
          <w:rFonts w:hint="eastAsia" w:ascii="宋体" w:hAnsi="宋体" w:eastAsia="宋体" w:cs="Tahoma"/>
          <w:color w:val="000000"/>
          <w:kern w:val="0"/>
          <w:sz w:val="20"/>
          <w:szCs w:val="20"/>
          <w:lang w:val="en-US" w:eastAsia="zh-CN" w:bidi="ar-SA"/>
        </w:rPr>
        <w:t>%；课堂随机测试指教师在课堂教学中根据教学设计所设置的问题，随机请学生在规定的时间内在课堂上完成的作业，每次都有主题，注明日期，并保留纸质材料。每学期4次课堂随机测试。</w:t>
      </w:r>
    </w:p>
    <w:p>
      <w:pPr>
        <w:widowControl/>
        <w:snapToGrid w:val="0"/>
        <w:spacing w:before="31" w:beforeAutospacing="0" w:after="31" w:afterAutospacing="0" w:line="360" w:lineRule="auto"/>
        <w:ind w:left="0" w:right="0" w:firstLine="440" w:firstLineChars="200"/>
        <w:jc w:val="left"/>
        <w:rPr>
          <w:rFonts w:hint="eastAsia" w:ascii="宋体" w:hAnsi="宋体" w:eastAsia="宋体" w:cs="Tahoma"/>
          <w:color w:val="000000"/>
          <w:kern w:val="0"/>
          <w:sz w:val="20"/>
          <w:szCs w:val="20"/>
          <w:lang w:val="en-US"/>
        </w:rPr>
      </w:pPr>
      <w:r>
        <w:rPr>
          <w:rFonts w:hint="default" w:ascii="宋体" w:hAnsi="宋体" w:eastAsia="宋体" w:cs="Tahoma"/>
          <w:color w:val="000000"/>
          <w:kern w:val="0"/>
          <w:sz w:val="22"/>
          <w:szCs w:val="22"/>
          <w:lang w:val="en-US" w:eastAsia="zh-CN" w:bidi="ar-SA"/>
        </w:rPr>
        <w:sym w:font="Wingdings" w:char="0083"/>
      </w:r>
      <w:r>
        <w:rPr>
          <w:rFonts w:hint="eastAsia" w:ascii="宋体" w:hAnsi="宋体" w:eastAsia="宋体" w:cs="Tahoma"/>
          <w:color w:val="000000"/>
          <w:kern w:val="0"/>
          <w:sz w:val="20"/>
          <w:szCs w:val="20"/>
          <w:lang w:val="en-US" w:eastAsia="zh-CN" w:bidi="ar-SA"/>
        </w:rPr>
        <w:t>课堂表现：占成绩的</w:t>
      </w:r>
      <w:r>
        <w:rPr>
          <w:rFonts w:hint="eastAsia" w:ascii="宋体" w:hAnsi="宋体" w:cs="Tahoma"/>
          <w:color w:val="000000"/>
          <w:kern w:val="0"/>
          <w:sz w:val="20"/>
          <w:szCs w:val="20"/>
          <w:lang w:val="en-US" w:eastAsia="zh-CN" w:bidi="ar-SA"/>
        </w:rPr>
        <w:t>2</w:t>
      </w:r>
      <w:r>
        <w:rPr>
          <w:rFonts w:hint="eastAsia" w:ascii="宋体" w:hAnsi="宋体" w:eastAsia="宋体" w:cs="Tahoma"/>
          <w:color w:val="000000"/>
          <w:kern w:val="0"/>
          <w:sz w:val="20"/>
          <w:szCs w:val="20"/>
          <w:lang w:val="en-US" w:eastAsia="zh-CN" w:bidi="ar-SA"/>
        </w:rPr>
        <w:t>0%；课堂表现主要包括出勤、课堂展示、互动参与情况等。</w:t>
      </w:r>
    </w:p>
    <w:p>
      <w:pPr>
        <w:snapToGrid w:val="0"/>
        <w:spacing w:before="120" w:line="288" w:lineRule="auto"/>
        <w:rPr>
          <w:rFonts w:ascii="宋体" w:hAnsi="宋体"/>
          <w:sz w:val="20"/>
          <w:szCs w:val="20"/>
        </w:rPr>
      </w:pPr>
      <w:bookmarkStart w:id="1" w:name="_GoBack"/>
      <w:bookmarkEnd w:id="1"/>
    </w:p>
    <w:p>
      <w:pPr>
        <w:snapToGrid w:val="0"/>
        <w:spacing w:line="288" w:lineRule="auto"/>
        <w:ind w:firstLine="400" w:firstLineChars="200"/>
        <w:rPr>
          <w:color w:val="000000"/>
          <w:sz w:val="20"/>
          <w:szCs w:val="20"/>
        </w:rPr>
      </w:pPr>
    </w:p>
    <w:p>
      <w:pPr>
        <w:snapToGrid w:val="0"/>
        <w:spacing w:line="288" w:lineRule="auto"/>
        <w:ind w:firstLine="630" w:firstLineChars="300"/>
      </w:pPr>
      <w:r>
        <w:rPr>
          <w:rFonts w:hint="eastAsia"/>
        </w:rPr>
        <w:t xml:space="preserve">撰写： 马可可            </w:t>
      </w:r>
      <w:r>
        <w:rPr>
          <w:rFonts w:hint="eastAsia"/>
          <w:lang w:val="en-US" w:eastAsia="zh-CN"/>
        </w:rPr>
        <w:t xml:space="preserve">     </w:t>
      </w:r>
      <w:r>
        <w:rPr>
          <w:rFonts w:hint="eastAsia"/>
        </w:rPr>
        <w:t xml:space="preserve">         院长签字：</w:t>
      </w:r>
      <w:r>
        <w:rPr>
          <w:rFonts w:hint="eastAsia"/>
          <w:lang w:eastAsia="zh-CN"/>
        </w:rPr>
        <w:t>宋艳华</w:t>
      </w:r>
    </w:p>
    <w:sectPr>
      <w:footerReference r:id="rId4" w:type="default"/>
      <w:pgSz w:w="11906" w:h="16838"/>
      <w:pgMar w:top="1361" w:right="1134" w:bottom="1191" w:left="1134" w:header="851" w:footer="850"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宋体">
    <w:panose1 w:val="02010600030101010101"/>
    <w:charset w:val="86"/>
    <w:family w:val="auto"/>
    <w:pitch w:val="variable"/>
    <w:sig w:usb0="00000003" w:usb1="080E0000" w:usb2="00000000" w:usb3="00000000" w:csb0="00040001" w:csb1="00000000"/>
  </w:font>
  <w:font w:name="Cambria Math">
    <w:panose1 w:val="02040503050406030204"/>
    <w:charset w:val="00"/>
    <w:family w:val="auto"/>
    <w:pitch w:val="variable"/>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88" w:lineRule="auto"/>
    </w:pPr>
  </w:p>
  <w:p>
    <w:pPr>
      <w:spacing w:line="288" w:lineRule="auto"/>
      <w:rPr>
        <w:sz w:val="18"/>
        <w:szCs w:val="18"/>
      </w:rPr>
    </w:pPr>
    <w:r>
      <w:rPr>
        <w:rFonts w:hint="eastAsia"/>
        <w:sz w:val="18"/>
        <w:szCs w:val="18"/>
      </w:rPr>
      <w:t>注：教学大纲电子版公布在本学院课程网站上，并发送到教务处存档。</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4935263">
    <w:nsid w:val="55875FDF"/>
    <w:multiLevelType w:val="singleLevel"/>
    <w:tmpl w:val="55875FDF"/>
    <w:lvl w:ilvl="0" w:tentative="1">
      <w:start w:val="1"/>
      <w:numFmt w:val="bullet"/>
      <w:lvlText w:val=""/>
      <w:lvlJc w:val="left"/>
      <w:pPr>
        <w:tabs>
          <w:tab w:val="left" w:pos="420"/>
        </w:tabs>
        <w:ind w:left="420" w:hanging="420"/>
      </w:pPr>
      <w:rPr>
        <w:rFonts w:hint="default" w:ascii="Wingdings" w:hAnsi="Wingdings"/>
      </w:rPr>
    </w:lvl>
  </w:abstractNum>
  <w:num w:numId="1">
    <w:abstractNumId w:val="1434935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F1EF5"/>
    <w:rsid w:val="0000262E"/>
    <w:rsid w:val="00024E51"/>
    <w:rsid w:val="00032270"/>
    <w:rsid w:val="00055EBA"/>
    <w:rsid w:val="000562E7"/>
    <w:rsid w:val="000661D5"/>
    <w:rsid w:val="000673CF"/>
    <w:rsid w:val="00090FAE"/>
    <w:rsid w:val="000D6C03"/>
    <w:rsid w:val="000E3984"/>
    <w:rsid w:val="001149A0"/>
    <w:rsid w:val="00125C1E"/>
    <w:rsid w:val="001307A8"/>
    <w:rsid w:val="00134662"/>
    <w:rsid w:val="00137C08"/>
    <w:rsid w:val="00140703"/>
    <w:rsid w:val="00141020"/>
    <w:rsid w:val="00184B19"/>
    <w:rsid w:val="001A5427"/>
    <w:rsid w:val="001B7C4E"/>
    <w:rsid w:val="001E1C7F"/>
    <w:rsid w:val="001E4C99"/>
    <w:rsid w:val="001E52A9"/>
    <w:rsid w:val="00202979"/>
    <w:rsid w:val="00202F4A"/>
    <w:rsid w:val="00205691"/>
    <w:rsid w:val="00214087"/>
    <w:rsid w:val="00221BDA"/>
    <w:rsid w:val="00232A35"/>
    <w:rsid w:val="00237554"/>
    <w:rsid w:val="00256EDB"/>
    <w:rsid w:val="002634A1"/>
    <w:rsid w:val="002861C9"/>
    <w:rsid w:val="002B3E8B"/>
    <w:rsid w:val="002C436C"/>
    <w:rsid w:val="002F063B"/>
    <w:rsid w:val="0030112C"/>
    <w:rsid w:val="003104A2"/>
    <w:rsid w:val="00315E89"/>
    <w:rsid w:val="003227A2"/>
    <w:rsid w:val="00334E08"/>
    <w:rsid w:val="003355D1"/>
    <w:rsid w:val="0034313A"/>
    <w:rsid w:val="00346C56"/>
    <w:rsid w:val="00365541"/>
    <w:rsid w:val="00372463"/>
    <w:rsid w:val="00387183"/>
    <w:rsid w:val="003A63EC"/>
    <w:rsid w:val="003B20CB"/>
    <w:rsid w:val="003B3D68"/>
    <w:rsid w:val="003D204F"/>
    <w:rsid w:val="003D779A"/>
    <w:rsid w:val="003F1CC6"/>
    <w:rsid w:val="00435006"/>
    <w:rsid w:val="004402B5"/>
    <w:rsid w:val="00440D2C"/>
    <w:rsid w:val="0044644B"/>
    <w:rsid w:val="00450AD1"/>
    <w:rsid w:val="00471FC4"/>
    <w:rsid w:val="0047234B"/>
    <w:rsid w:val="0047424F"/>
    <w:rsid w:val="00486A9D"/>
    <w:rsid w:val="00495DEF"/>
    <w:rsid w:val="004A051C"/>
    <w:rsid w:val="004A0E2F"/>
    <w:rsid w:val="004A1B98"/>
    <w:rsid w:val="004A569E"/>
    <w:rsid w:val="004C69B1"/>
    <w:rsid w:val="004D27F9"/>
    <w:rsid w:val="004D30D9"/>
    <w:rsid w:val="004F7633"/>
    <w:rsid w:val="005019CF"/>
    <w:rsid w:val="005078E9"/>
    <w:rsid w:val="0051000C"/>
    <w:rsid w:val="0051211E"/>
    <w:rsid w:val="00536B98"/>
    <w:rsid w:val="00542F43"/>
    <w:rsid w:val="0058650A"/>
    <w:rsid w:val="005A09DA"/>
    <w:rsid w:val="005C375A"/>
    <w:rsid w:val="005C60F5"/>
    <w:rsid w:val="005D539E"/>
    <w:rsid w:val="005D7251"/>
    <w:rsid w:val="005F0A9A"/>
    <w:rsid w:val="005F71C5"/>
    <w:rsid w:val="00602971"/>
    <w:rsid w:val="00612934"/>
    <w:rsid w:val="00614F28"/>
    <w:rsid w:val="00616A2F"/>
    <w:rsid w:val="0063700B"/>
    <w:rsid w:val="0063732C"/>
    <w:rsid w:val="00655EE7"/>
    <w:rsid w:val="00661121"/>
    <w:rsid w:val="00665FD3"/>
    <w:rsid w:val="0067063F"/>
    <w:rsid w:val="00674D82"/>
    <w:rsid w:val="006A1A83"/>
    <w:rsid w:val="006B02B5"/>
    <w:rsid w:val="006C67FC"/>
    <w:rsid w:val="006E2893"/>
    <w:rsid w:val="006E5CAD"/>
    <w:rsid w:val="006F0B98"/>
    <w:rsid w:val="006F1EF5"/>
    <w:rsid w:val="006F4DF7"/>
    <w:rsid w:val="00707550"/>
    <w:rsid w:val="00721CBA"/>
    <w:rsid w:val="00743660"/>
    <w:rsid w:val="00744C4E"/>
    <w:rsid w:val="00781A94"/>
    <w:rsid w:val="007C48AE"/>
    <w:rsid w:val="007D600D"/>
    <w:rsid w:val="007F16D0"/>
    <w:rsid w:val="00807604"/>
    <w:rsid w:val="00831E01"/>
    <w:rsid w:val="0083755D"/>
    <w:rsid w:val="00907FDB"/>
    <w:rsid w:val="00933102"/>
    <w:rsid w:val="009334E4"/>
    <w:rsid w:val="00950881"/>
    <w:rsid w:val="009649D7"/>
    <w:rsid w:val="0097553A"/>
    <w:rsid w:val="00975AFA"/>
    <w:rsid w:val="00987C5B"/>
    <w:rsid w:val="009A59CF"/>
    <w:rsid w:val="009C7503"/>
    <w:rsid w:val="009D37A1"/>
    <w:rsid w:val="00A22483"/>
    <w:rsid w:val="00A225DF"/>
    <w:rsid w:val="00A45B5F"/>
    <w:rsid w:val="00A47379"/>
    <w:rsid w:val="00A90778"/>
    <w:rsid w:val="00A936C3"/>
    <w:rsid w:val="00AB47DF"/>
    <w:rsid w:val="00AE5FC8"/>
    <w:rsid w:val="00AF20EC"/>
    <w:rsid w:val="00B045A0"/>
    <w:rsid w:val="00B3314E"/>
    <w:rsid w:val="00B400BA"/>
    <w:rsid w:val="00B417CE"/>
    <w:rsid w:val="00B57B36"/>
    <w:rsid w:val="00B64DC8"/>
    <w:rsid w:val="00B76B27"/>
    <w:rsid w:val="00B770C0"/>
    <w:rsid w:val="00B9301A"/>
    <w:rsid w:val="00B962AE"/>
    <w:rsid w:val="00BF12AB"/>
    <w:rsid w:val="00C016A0"/>
    <w:rsid w:val="00C11CF6"/>
    <w:rsid w:val="00C213CA"/>
    <w:rsid w:val="00C44D17"/>
    <w:rsid w:val="00C70482"/>
    <w:rsid w:val="00C76312"/>
    <w:rsid w:val="00CB6E73"/>
    <w:rsid w:val="00CC0883"/>
    <w:rsid w:val="00CD0D92"/>
    <w:rsid w:val="00CE78C5"/>
    <w:rsid w:val="00D74447"/>
    <w:rsid w:val="00D942DA"/>
    <w:rsid w:val="00DE1328"/>
    <w:rsid w:val="00E21BFA"/>
    <w:rsid w:val="00E23531"/>
    <w:rsid w:val="00E32596"/>
    <w:rsid w:val="00E4185F"/>
    <w:rsid w:val="00E46E66"/>
    <w:rsid w:val="00E51A66"/>
    <w:rsid w:val="00E51CA1"/>
    <w:rsid w:val="00E5231F"/>
    <w:rsid w:val="00E93049"/>
    <w:rsid w:val="00EA323E"/>
    <w:rsid w:val="00EA3F38"/>
    <w:rsid w:val="00EE3131"/>
    <w:rsid w:val="00EF6FD2"/>
    <w:rsid w:val="00F00C83"/>
    <w:rsid w:val="00F13C0F"/>
    <w:rsid w:val="00F246C5"/>
    <w:rsid w:val="00F314E7"/>
    <w:rsid w:val="00F35FF9"/>
    <w:rsid w:val="00F63690"/>
    <w:rsid w:val="00F72CBD"/>
    <w:rsid w:val="00FA5388"/>
    <w:rsid w:val="00FA760D"/>
    <w:rsid w:val="00FC2CF7"/>
    <w:rsid w:val="00FD3D8C"/>
    <w:rsid w:val="00FE3185"/>
    <w:rsid w:val="00FE47C6"/>
    <w:rsid w:val="0192621F"/>
    <w:rsid w:val="01E84A30"/>
    <w:rsid w:val="02CA179F"/>
    <w:rsid w:val="02F45E67"/>
    <w:rsid w:val="03123218"/>
    <w:rsid w:val="03163E1D"/>
    <w:rsid w:val="034564C3"/>
    <w:rsid w:val="03B93159"/>
    <w:rsid w:val="03E147EA"/>
    <w:rsid w:val="042F236B"/>
    <w:rsid w:val="04B403C6"/>
    <w:rsid w:val="050F19D9"/>
    <w:rsid w:val="05164BE7"/>
    <w:rsid w:val="054F27C3"/>
    <w:rsid w:val="05750484"/>
    <w:rsid w:val="05DB36AB"/>
    <w:rsid w:val="05E774BE"/>
    <w:rsid w:val="0623601E"/>
    <w:rsid w:val="06AF3684"/>
    <w:rsid w:val="06FC3783"/>
    <w:rsid w:val="07421BCA"/>
    <w:rsid w:val="076808B4"/>
    <w:rsid w:val="08413E1A"/>
    <w:rsid w:val="08564CB9"/>
    <w:rsid w:val="08575FBE"/>
    <w:rsid w:val="08986A27"/>
    <w:rsid w:val="08B56357"/>
    <w:rsid w:val="09755111"/>
    <w:rsid w:val="09937F44"/>
    <w:rsid w:val="09F359DF"/>
    <w:rsid w:val="0AD46352"/>
    <w:rsid w:val="0B1835C3"/>
    <w:rsid w:val="0B243B52"/>
    <w:rsid w:val="0B386076"/>
    <w:rsid w:val="0B7A4561"/>
    <w:rsid w:val="0C331791"/>
    <w:rsid w:val="0C4C48B9"/>
    <w:rsid w:val="0C946333"/>
    <w:rsid w:val="0C9F46C4"/>
    <w:rsid w:val="0D1A620C"/>
    <w:rsid w:val="0D8B55C6"/>
    <w:rsid w:val="0DC40C23"/>
    <w:rsid w:val="0E1B4EB5"/>
    <w:rsid w:val="0E3C686C"/>
    <w:rsid w:val="0E455CF9"/>
    <w:rsid w:val="0EA43B14"/>
    <w:rsid w:val="0F2E5C77"/>
    <w:rsid w:val="0F6B5ADC"/>
    <w:rsid w:val="0F7F477C"/>
    <w:rsid w:val="10D26327"/>
    <w:rsid w:val="10D80231"/>
    <w:rsid w:val="10E904CB"/>
    <w:rsid w:val="11080D80"/>
    <w:rsid w:val="117F6440"/>
    <w:rsid w:val="11BB40A7"/>
    <w:rsid w:val="122214CC"/>
    <w:rsid w:val="12386EF3"/>
    <w:rsid w:val="123D7AF8"/>
    <w:rsid w:val="12841571"/>
    <w:rsid w:val="13072A44"/>
    <w:rsid w:val="1331710B"/>
    <w:rsid w:val="13363593"/>
    <w:rsid w:val="134770B1"/>
    <w:rsid w:val="137333F8"/>
    <w:rsid w:val="138C2C9D"/>
    <w:rsid w:val="13DF0529"/>
    <w:rsid w:val="14150A03"/>
    <w:rsid w:val="14997957"/>
    <w:rsid w:val="14FA66F7"/>
    <w:rsid w:val="15016082"/>
    <w:rsid w:val="150B7C96"/>
    <w:rsid w:val="16F0332F"/>
    <w:rsid w:val="1702234F"/>
    <w:rsid w:val="173E0EAF"/>
    <w:rsid w:val="17E3743F"/>
    <w:rsid w:val="18542BF6"/>
    <w:rsid w:val="19632DB3"/>
    <w:rsid w:val="196C14C4"/>
    <w:rsid w:val="19835866"/>
    <w:rsid w:val="198F297E"/>
    <w:rsid w:val="1A466C29"/>
    <w:rsid w:val="1A6D6AE8"/>
    <w:rsid w:val="1A8E28A0"/>
    <w:rsid w:val="1B604DF7"/>
    <w:rsid w:val="1BAD7475"/>
    <w:rsid w:val="1C220738"/>
    <w:rsid w:val="1C6F4FB4"/>
    <w:rsid w:val="1C962C76"/>
    <w:rsid w:val="1CFD009B"/>
    <w:rsid w:val="1D54432D"/>
    <w:rsid w:val="1D9C4722"/>
    <w:rsid w:val="1DD65800"/>
    <w:rsid w:val="1E061BD3"/>
    <w:rsid w:val="1E0C3ADC"/>
    <w:rsid w:val="1E461337"/>
    <w:rsid w:val="1EA44F54"/>
    <w:rsid w:val="1EF075D2"/>
    <w:rsid w:val="20B44934"/>
    <w:rsid w:val="21F35640"/>
    <w:rsid w:val="228A48BA"/>
    <w:rsid w:val="22916443"/>
    <w:rsid w:val="22F506E6"/>
    <w:rsid w:val="230279FC"/>
    <w:rsid w:val="23225D32"/>
    <w:rsid w:val="23906366"/>
    <w:rsid w:val="23A94D12"/>
    <w:rsid w:val="247D056D"/>
    <w:rsid w:val="247F3A70"/>
    <w:rsid w:val="24D50BFC"/>
    <w:rsid w:val="254D1B3F"/>
    <w:rsid w:val="25614063"/>
    <w:rsid w:val="260D66FA"/>
    <w:rsid w:val="267970AE"/>
    <w:rsid w:val="26BE651E"/>
    <w:rsid w:val="26DA5E4E"/>
    <w:rsid w:val="271436A9"/>
    <w:rsid w:val="276A6636"/>
    <w:rsid w:val="2775024B"/>
    <w:rsid w:val="27CD66DB"/>
    <w:rsid w:val="27DE0B74"/>
    <w:rsid w:val="28021134"/>
    <w:rsid w:val="28645955"/>
    <w:rsid w:val="28A563BE"/>
    <w:rsid w:val="28E64C29"/>
    <w:rsid w:val="29CA071F"/>
    <w:rsid w:val="2AA00F6E"/>
    <w:rsid w:val="2AA42601"/>
    <w:rsid w:val="2B054C24"/>
    <w:rsid w:val="2B683643"/>
    <w:rsid w:val="2BBD43D2"/>
    <w:rsid w:val="2C276000"/>
    <w:rsid w:val="2C357514"/>
    <w:rsid w:val="2C821B92"/>
    <w:rsid w:val="2D780E25"/>
    <w:rsid w:val="2D9B3963"/>
    <w:rsid w:val="2DBD6096"/>
    <w:rsid w:val="2E070A94"/>
    <w:rsid w:val="2E090714"/>
    <w:rsid w:val="2EDE5274"/>
    <w:rsid w:val="2F062C37"/>
    <w:rsid w:val="2F511D30"/>
    <w:rsid w:val="2FA76EBB"/>
    <w:rsid w:val="2FBB395D"/>
    <w:rsid w:val="305118D2"/>
    <w:rsid w:val="306F4706"/>
    <w:rsid w:val="30B43B75"/>
    <w:rsid w:val="30C3638E"/>
    <w:rsid w:val="30C90297"/>
    <w:rsid w:val="310061F3"/>
    <w:rsid w:val="31557E7B"/>
    <w:rsid w:val="31576C02"/>
    <w:rsid w:val="31B23A98"/>
    <w:rsid w:val="32262752"/>
    <w:rsid w:val="323629ED"/>
    <w:rsid w:val="332E3007"/>
    <w:rsid w:val="33350391"/>
    <w:rsid w:val="334A28B5"/>
    <w:rsid w:val="33D52499"/>
    <w:rsid w:val="33F85ED1"/>
    <w:rsid w:val="34196405"/>
    <w:rsid w:val="34856DB9"/>
    <w:rsid w:val="3507028C"/>
    <w:rsid w:val="35711EBA"/>
    <w:rsid w:val="35A04F88"/>
    <w:rsid w:val="35D579E0"/>
    <w:rsid w:val="36173CCD"/>
    <w:rsid w:val="3618174E"/>
    <w:rsid w:val="36FB19C1"/>
    <w:rsid w:val="373C022C"/>
    <w:rsid w:val="375201D1"/>
    <w:rsid w:val="37910FBB"/>
    <w:rsid w:val="37A80BE0"/>
    <w:rsid w:val="37F16A56"/>
    <w:rsid w:val="380D6386"/>
    <w:rsid w:val="388614C8"/>
    <w:rsid w:val="39BA18C5"/>
    <w:rsid w:val="39C421D4"/>
    <w:rsid w:val="39F252A2"/>
    <w:rsid w:val="39F25A89"/>
    <w:rsid w:val="3A1F706B"/>
    <w:rsid w:val="3AC10DF2"/>
    <w:rsid w:val="3AF6384B"/>
    <w:rsid w:val="3B1662FE"/>
    <w:rsid w:val="3B6F440E"/>
    <w:rsid w:val="3BA526EA"/>
    <w:rsid w:val="3BBA100A"/>
    <w:rsid w:val="3BC5739B"/>
    <w:rsid w:val="3BE86656"/>
    <w:rsid w:val="3C1C362D"/>
    <w:rsid w:val="3CAD2B7A"/>
    <w:rsid w:val="3D007123"/>
    <w:rsid w:val="3D2B37EA"/>
    <w:rsid w:val="3D8C258A"/>
    <w:rsid w:val="3DCF2C73"/>
    <w:rsid w:val="3E4619B8"/>
    <w:rsid w:val="3E7B4411"/>
    <w:rsid w:val="3E8B0E28"/>
    <w:rsid w:val="3F3E79D2"/>
    <w:rsid w:val="3F8B424E"/>
    <w:rsid w:val="3FA00970"/>
    <w:rsid w:val="40022F93"/>
    <w:rsid w:val="407709D4"/>
    <w:rsid w:val="4099698A"/>
    <w:rsid w:val="40D24565"/>
    <w:rsid w:val="40E12601"/>
    <w:rsid w:val="40F14E1A"/>
    <w:rsid w:val="41485829"/>
    <w:rsid w:val="41BC57E8"/>
    <w:rsid w:val="41F646C8"/>
    <w:rsid w:val="42256110"/>
    <w:rsid w:val="424234C2"/>
    <w:rsid w:val="42B92207"/>
    <w:rsid w:val="42F06ADE"/>
    <w:rsid w:val="430B098D"/>
    <w:rsid w:val="431C6BAF"/>
    <w:rsid w:val="43565589"/>
    <w:rsid w:val="43FD701B"/>
    <w:rsid w:val="442D1D69"/>
    <w:rsid w:val="4457512C"/>
    <w:rsid w:val="44C147DB"/>
    <w:rsid w:val="44E05090"/>
    <w:rsid w:val="44EE0B22"/>
    <w:rsid w:val="45A63B54"/>
    <w:rsid w:val="45C76287"/>
    <w:rsid w:val="461C7016"/>
    <w:rsid w:val="468A3DC6"/>
    <w:rsid w:val="46E147D5"/>
    <w:rsid w:val="47112DA6"/>
    <w:rsid w:val="471B36B5"/>
    <w:rsid w:val="476561F7"/>
    <w:rsid w:val="47904979"/>
    <w:rsid w:val="47BC543D"/>
    <w:rsid w:val="48B459D5"/>
    <w:rsid w:val="49202B06"/>
    <w:rsid w:val="49252811"/>
    <w:rsid w:val="495245DA"/>
    <w:rsid w:val="49B60A7B"/>
    <w:rsid w:val="49F0795B"/>
    <w:rsid w:val="4A4F0FFA"/>
    <w:rsid w:val="4B752EB3"/>
    <w:rsid w:val="4C020640"/>
    <w:rsid w:val="4C085DCC"/>
    <w:rsid w:val="4C2365F6"/>
    <w:rsid w:val="4C342114"/>
    <w:rsid w:val="4C87411C"/>
    <w:rsid w:val="4C9011A8"/>
    <w:rsid w:val="4CB052E1"/>
    <w:rsid w:val="4CD05815"/>
    <w:rsid w:val="4CDB5DA5"/>
    <w:rsid w:val="4CDE4B2B"/>
    <w:rsid w:val="4CE64136"/>
    <w:rsid w:val="4DEB17E5"/>
    <w:rsid w:val="4E013989"/>
    <w:rsid w:val="4E781049"/>
    <w:rsid w:val="4EE419FD"/>
    <w:rsid w:val="4EEE7D8E"/>
    <w:rsid w:val="4F824D7E"/>
    <w:rsid w:val="4FD33884"/>
    <w:rsid w:val="4FFD7F4B"/>
    <w:rsid w:val="50095F5C"/>
    <w:rsid w:val="506B057F"/>
    <w:rsid w:val="50C2570B"/>
    <w:rsid w:val="51465964"/>
    <w:rsid w:val="51640797"/>
    <w:rsid w:val="5185454F"/>
    <w:rsid w:val="520E792B"/>
    <w:rsid w:val="52295F56"/>
    <w:rsid w:val="523A74F6"/>
    <w:rsid w:val="52EB3A96"/>
    <w:rsid w:val="549518D3"/>
    <w:rsid w:val="54B7310D"/>
    <w:rsid w:val="55031F07"/>
    <w:rsid w:val="55122522"/>
    <w:rsid w:val="55350158"/>
    <w:rsid w:val="5597277B"/>
    <w:rsid w:val="562F3BF3"/>
    <w:rsid w:val="567852EC"/>
    <w:rsid w:val="56856B80"/>
    <w:rsid w:val="57971EC0"/>
    <w:rsid w:val="57B66EF2"/>
    <w:rsid w:val="57CE7E1C"/>
    <w:rsid w:val="57D65228"/>
    <w:rsid w:val="59047E99"/>
    <w:rsid w:val="592738D0"/>
    <w:rsid w:val="59635CB4"/>
    <w:rsid w:val="5A363A8E"/>
    <w:rsid w:val="5A4178A0"/>
    <w:rsid w:val="5A5233BE"/>
    <w:rsid w:val="5A6C3F68"/>
    <w:rsid w:val="5A9418A9"/>
    <w:rsid w:val="5AA26640"/>
    <w:rsid w:val="5AAD49D1"/>
    <w:rsid w:val="5BB167FD"/>
    <w:rsid w:val="5BB3647D"/>
    <w:rsid w:val="5BF230AF"/>
    <w:rsid w:val="5C3E3E63"/>
    <w:rsid w:val="5CC70544"/>
    <w:rsid w:val="5CCC49CC"/>
    <w:rsid w:val="5D893E85"/>
    <w:rsid w:val="5D9A411F"/>
    <w:rsid w:val="5E1B7B71"/>
    <w:rsid w:val="5F3B5A4A"/>
    <w:rsid w:val="5F4253D5"/>
    <w:rsid w:val="60572D1E"/>
    <w:rsid w:val="60733548"/>
    <w:rsid w:val="607D18D9"/>
    <w:rsid w:val="609D7C10"/>
    <w:rsid w:val="60E9228D"/>
    <w:rsid w:val="610C5CC5"/>
    <w:rsid w:val="61967E27"/>
    <w:rsid w:val="61C21F70"/>
    <w:rsid w:val="62356A2C"/>
    <w:rsid w:val="62390CB6"/>
    <w:rsid w:val="626671FB"/>
    <w:rsid w:val="629B1C54"/>
    <w:rsid w:val="62E245C6"/>
    <w:rsid w:val="636813A7"/>
    <w:rsid w:val="646969CC"/>
    <w:rsid w:val="64A358AC"/>
    <w:rsid w:val="6510045E"/>
    <w:rsid w:val="652C0C88"/>
    <w:rsid w:val="65474D35"/>
    <w:rsid w:val="656520E7"/>
    <w:rsid w:val="656D4F75"/>
    <w:rsid w:val="6598163C"/>
    <w:rsid w:val="65EB3645"/>
    <w:rsid w:val="65FB38DF"/>
    <w:rsid w:val="670F2122"/>
    <w:rsid w:val="672542C6"/>
    <w:rsid w:val="67FF1A2B"/>
    <w:rsid w:val="684A6627"/>
    <w:rsid w:val="68C05F42"/>
    <w:rsid w:val="68D73C8C"/>
    <w:rsid w:val="690028D2"/>
    <w:rsid w:val="69112B6D"/>
    <w:rsid w:val="69863E30"/>
    <w:rsid w:val="69A433E0"/>
    <w:rsid w:val="69D07728"/>
    <w:rsid w:val="6A015CF8"/>
    <w:rsid w:val="6A306848"/>
    <w:rsid w:val="6A9661EC"/>
    <w:rsid w:val="6AEC1179"/>
    <w:rsid w:val="6B2028CD"/>
    <w:rsid w:val="6B5D01B3"/>
    <w:rsid w:val="6B973810"/>
    <w:rsid w:val="6BEC1ED3"/>
    <w:rsid w:val="6CD81C1E"/>
    <w:rsid w:val="6D180489"/>
    <w:rsid w:val="6D23209D"/>
    <w:rsid w:val="6D2B3C26"/>
    <w:rsid w:val="6D2E262D"/>
    <w:rsid w:val="6DD96349"/>
    <w:rsid w:val="6E2F5A53"/>
    <w:rsid w:val="6E4F0506"/>
    <w:rsid w:val="6E4F3D89"/>
    <w:rsid w:val="6F3E5C10"/>
    <w:rsid w:val="6FEB702D"/>
    <w:rsid w:val="700346D4"/>
    <w:rsid w:val="703838A9"/>
    <w:rsid w:val="707E401E"/>
    <w:rsid w:val="70AD3868"/>
    <w:rsid w:val="71267CAF"/>
    <w:rsid w:val="71920663"/>
    <w:rsid w:val="720A37A4"/>
    <w:rsid w:val="722A535E"/>
    <w:rsid w:val="72645138"/>
    <w:rsid w:val="73E368AE"/>
    <w:rsid w:val="74547E66"/>
    <w:rsid w:val="745C0AF6"/>
    <w:rsid w:val="74A90BF5"/>
    <w:rsid w:val="74F65471"/>
    <w:rsid w:val="75011284"/>
    <w:rsid w:val="752836C2"/>
    <w:rsid w:val="75A75295"/>
    <w:rsid w:val="75D160D9"/>
    <w:rsid w:val="75DA47EA"/>
    <w:rsid w:val="76072D30"/>
    <w:rsid w:val="76517CAC"/>
    <w:rsid w:val="76E06296"/>
    <w:rsid w:val="76F507BA"/>
    <w:rsid w:val="7721127E"/>
    <w:rsid w:val="777C3F16"/>
    <w:rsid w:val="7782001E"/>
    <w:rsid w:val="77B64FF5"/>
    <w:rsid w:val="77EE09D2"/>
    <w:rsid w:val="784936EC"/>
    <w:rsid w:val="789A68EC"/>
    <w:rsid w:val="78C728B3"/>
    <w:rsid w:val="796075AF"/>
    <w:rsid w:val="79753CD1"/>
    <w:rsid w:val="79807AE3"/>
    <w:rsid w:val="798C38F6"/>
    <w:rsid w:val="79D143EB"/>
    <w:rsid w:val="7A506EB7"/>
    <w:rsid w:val="7ABB1DEA"/>
    <w:rsid w:val="7AD2618C"/>
    <w:rsid w:val="7B074467"/>
    <w:rsid w:val="7B222A93"/>
    <w:rsid w:val="7B5D15F3"/>
    <w:rsid w:val="7C1E3C2F"/>
    <w:rsid w:val="7C376D58"/>
    <w:rsid w:val="7CAA7097"/>
    <w:rsid w:val="7CAB1295"/>
    <w:rsid w:val="7CF4298E"/>
    <w:rsid w:val="7DBD5C5A"/>
    <w:rsid w:val="7DBE36DC"/>
    <w:rsid w:val="7DDD618F"/>
    <w:rsid w:val="7E2F6E92"/>
    <w:rsid w:val="7E4A0D41"/>
    <w:rsid w:val="7E597CD7"/>
    <w:rsid w:val="7E676FEC"/>
    <w:rsid w:val="7EAD7761"/>
    <w:rsid w:val="7EEE184F"/>
    <w:rsid w:val="7F712D22"/>
    <w:rsid w:val="7F91325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Style w:val="8"/>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rPr>
      <w:sz w:val="24"/>
    </w:rPr>
  </w:style>
  <w:style w:type="character" w:styleId="7">
    <w:name w:val="page number"/>
    <w:basedOn w:val="6"/>
    <w:uiPriority w:val="0"/>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11">
    <w:name w:val="short_text"/>
    <w:basedOn w:val="6"/>
    <w:uiPriority w:val="0"/>
    <w:rPr/>
  </w:style>
  <w:style w:type="character" w:customStyle="1" w:styleId="12">
    <w:name w:val="页眉 Char"/>
    <w:link w:val="4"/>
    <w:uiPriority w:val="0"/>
    <w:rPr>
      <w:kern w:val="2"/>
      <w:sz w:val="18"/>
      <w:szCs w:val="18"/>
    </w:rPr>
  </w:style>
  <w:style w:type="character" w:customStyle="1" w:styleId="13">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6</Pages>
  <Words>710</Words>
  <Characters>4047</Characters>
  <Lines>33</Lines>
  <Paragraphs>9</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2015-06-01T00:54:00Z</dcterms:created>
  <dc:creator>thtfpc user</dc:creator>
  <cp:lastModifiedBy>Administrator</cp:lastModifiedBy>
  <cp:lastPrinted>2015-03-18T05:19:00Z</cp:lastPrinted>
  <dcterms:modified xsi:type="dcterms:W3CDTF">2015-09-16T08:08:21Z</dcterms:modified>
  <dc:title>上海建桥学院本科课程教学大纲模板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